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D40C4" w14:textId="77777777" w:rsidR="00900DBF" w:rsidRDefault="0014361C">
      <w:pPr>
        <w:jc w:val="center"/>
        <w:rPr>
          <w:b/>
          <w:bCs/>
          <w:szCs w:val="24"/>
          <w:lang w:eastAsia="lt-LT"/>
        </w:rPr>
      </w:pPr>
      <w:r>
        <w:rPr>
          <w:b/>
          <w:bCs/>
          <w:szCs w:val="24"/>
          <w:lang w:eastAsia="lt-LT"/>
        </w:rPr>
        <w:t>PRIENŲ MENO MOKYKLOS</w:t>
      </w:r>
    </w:p>
    <w:p w14:paraId="202A8435" w14:textId="77777777" w:rsidR="00900DBF" w:rsidRDefault="00900DBF">
      <w:pPr>
        <w:jc w:val="center"/>
        <w:rPr>
          <w:b/>
          <w:bCs/>
          <w:szCs w:val="24"/>
          <w:lang w:eastAsia="lt-LT"/>
        </w:rPr>
      </w:pPr>
    </w:p>
    <w:p w14:paraId="1A1EB967" w14:textId="77777777" w:rsidR="00900DBF" w:rsidRDefault="0014361C">
      <w:pPr>
        <w:jc w:val="center"/>
        <w:rPr>
          <w:b/>
          <w:bCs/>
          <w:szCs w:val="24"/>
          <w:lang w:eastAsia="lt-LT"/>
        </w:rPr>
      </w:pPr>
      <w:r>
        <w:rPr>
          <w:b/>
          <w:bCs/>
          <w:szCs w:val="24"/>
          <w:lang w:eastAsia="lt-LT"/>
        </w:rPr>
        <w:t>2024 METŲ VEIKLOS ATASKAITA</w:t>
      </w:r>
    </w:p>
    <w:p w14:paraId="590DDF07" w14:textId="77777777" w:rsidR="00900DBF" w:rsidRDefault="00900DBF">
      <w:pPr>
        <w:jc w:val="center"/>
        <w:rPr>
          <w:b/>
          <w:bCs/>
          <w:szCs w:val="24"/>
          <w:lang w:eastAsia="lt-LT"/>
        </w:rPr>
      </w:pPr>
    </w:p>
    <w:p w14:paraId="09910940" w14:textId="77777777" w:rsidR="00900DBF" w:rsidRDefault="00900DBF">
      <w:pPr>
        <w:rPr>
          <w:color w:val="FF0000"/>
          <w:sz w:val="20"/>
          <w:lang w:eastAsia="lt-LT"/>
        </w:rPr>
      </w:pPr>
      <w:bookmarkStart w:id="0" w:name="_GoBack"/>
      <w:bookmarkEnd w:id="0"/>
    </w:p>
    <w:p w14:paraId="1C1CA156" w14:textId="77777777" w:rsidR="00900DBF" w:rsidRDefault="00900DBF">
      <w:pPr>
        <w:rPr>
          <w:color w:val="FF0000"/>
          <w:sz w:val="20"/>
          <w:lang w:eastAsia="lt-LT"/>
        </w:rPr>
      </w:pPr>
    </w:p>
    <w:p w14:paraId="116625DB" w14:textId="77777777" w:rsidR="00900DBF" w:rsidRDefault="0014361C">
      <w:pPr>
        <w:ind w:firstLine="720"/>
        <w:jc w:val="both"/>
        <w:rPr>
          <w:rFonts w:ascii="Candara" w:eastAsia="Candara" w:hAnsi="Candara" w:cs="Candara"/>
          <w:b/>
          <w:bCs/>
        </w:rPr>
      </w:pPr>
      <w:r>
        <w:rPr>
          <w:rFonts w:cstheme="majorBidi"/>
          <w:szCs w:val="24"/>
        </w:rPr>
        <w:t xml:space="preserve">Prienų meno mokykla – Kauno g. 2 C, LT-59147, Prienai, tel./faks. (+370 319 52979) el. p. </w:t>
      </w:r>
      <w:hyperlink r:id="rId6">
        <w:r w:rsidR="00900DBF">
          <w:rPr>
            <w:rStyle w:val="Internetosaitas"/>
            <w:rFonts w:eastAsiaTheme="majorEastAsia" w:cstheme="majorBidi"/>
            <w:color w:val="000000"/>
            <w:szCs w:val="24"/>
            <w:shd w:val="clear" w:color="auto" w:fill="FFFFFF"/>
          </w:rPr>
          <w:t>rastine@menas.prienai.lm.lt</w:t>
        </w:r>
      </w:hyperlink>
      <w:bookmarkStart w:id="1" w:name="_Hlk187851656"/>
      <w:r>
        <w:rPr>
          <w:rFonts w:cstheme="majorBidi"/>
          <w:szCs w:val="24"/>
        </w:rPr>
        <w:t xml:space="preserve">; </w:t>
      </w:r>
      <w:hyperlink r:id="rId7">
        <w:r w:rsidR="00900DBF">
          <w:rPr>
            <w:rStyle w:val="Internetosaitas"/>
            <w:rFonts w:ascii="Candara" w:eastAsia="Candara" w:hAnsi="Candara" w:cs="Candara"/>
          </w:rPr>
          <w:t>https://prienumm.lt</w:t>
        </w:r>
      </w:hyperlink>
      <w:bookmarkEnd w:id="1"/>
      <w:r>
        <w:rPr>
          <w:rFonts w:cstheme="majorBidi"/>
          <w:szCs w:val="24"/>
        </w:rPr>
        <w:t xml:space="preserve"> Mokykla  įsteigta – 1965 m. birželio 1 d. Nuo 1997 m. pavadinta Prienų meno mokykla. </w:t>
      </w:r>
    </w:p>
    <w:p w14:paraId="16C6EC39" w14:textId="2D7C73DA" w:rsidR="00900DBF" w:rsidRDefault="0014361C" w:rsidP="00AC1F0D">
      <w:pPr>
        <w:spacing w:line="276" w:lineRule="auto"/>
        <w:ind w:firstLine="720"/>
        <w:jc w:val="both"/>
        <w:rPr>
          <w:rFonts w:asciiTheme="majorBidi" w:eastAsia="Calibri" w:hAnsiTheme="majorBidi" w:cstheme="majorBidi"/>
          <w:szCs w:val="24"/>
        </w:rPr>
      </w:pPr>
      <w:r w:rsidRPr="00AC1F0D">
        <w:rPr>
          <w:rFonts w:cstheme="majorBidi"/>
          <w:szCs w:val="24"/>
        </w:rPr>
        <w:t>Prienų meno mokykla (toliau – mokykla) – formalųjį švietimą papildančio ugdymo (toliau – FŠPU) ir neformaliojo švietimo (toliau – NŠ) mokykla</w:t>
      </w:r>
      <w:r>
        <w:rPr>
          <w:rFonts w:cstheme="majorBidi"/>
          <w:szCs w:val="24"/>
        </w:rPr>
        <w:t xml:space="preserve">, teikianti vaikų ir suaugusiųjų meninį bei muzikinį ugdymą pagal ilgalaikes  ir kryptingas neformaliojo švietimo programas. </w:t>
      </w:r>
      <w:r>
        <w:rPr>
          <w:rFonts w:eastAsia="Calibri" w:cstheme="majorBidi"/>
          <w:szCs w:val="24"/>
        </w:rPr>
        <w:t xml:space="preserve">Mokykloje įgyvendinamos 7 metų muzikinio ugdymo  ir 7 metų dailės ugdymo FŠPU programos. Mokykloje veikia 6 meninio ugdymo skyriai:  5 muzikiniai (fortepijono, akordeono, liaudies ir pučiamųjų instrumentų, styginių instrumentų, chorinio dainavimo) ir dailės. </w:t>
      </w:r>
      <w:r w:rsidRPr="00AC1F0D">
        <w:rPr>
          <w:rFonts w:eastAsia="Calibri" w:cstheme="majorBidi"/>
          <w:szCs w:val="24"/>
        </w:rPr>
        <w:t xml:space="preserve">Šiuose skyriuose vykdomos </w:t>
      </w:r>
      <w:r>
        <w:rPr>
          <w:rFonts w:eastAsia="Calibri" w:cstheme="majorBidi"/>
          <w:szCs w:val="24"/>
        </w:rPr>
        <w:t>28 FŠPU programos. Muzikavimo pamokos individualizuojamos kiekvienam mokiniui, pagal jo amžių ir gebėjimus. Taip pat teikiamos NŠ meninio ugdymo paslaugos muzikiniuose ir dailės skyriuose: ankstyvojo amžiaus meninis ugdymas, išplėstinis, mėgėjų (vaikų ir suaugusių) meninis ugdymas</w:t>
      </w:r>
      <w:r w:rsidRPr="00AC1F0D">
        <w:rPr>
          <w:rFonts w:eastAsia="Calibri" w:cstheme="majorBidi"/>
          <w:szCs w:val="24"/>
        </w:rPr>
        <w:t xml:space="preserve">. Viso vykdoma 31 įvairių muzikinių dalykų ir dailės NŠ programa. </w:t>
      </w:r>
      <w:r>
        <w:rPr>
          <w:rFonts w:eastAsia="Calibri" w:cstheme="majorBidi"/>
          <w:szCs w:val="24"/>
        </w:rPr>
        <w:t xml:space="preserve">Mokiniams sudarytos sąlygos lankyti mokomuosius kolektyvus: jaunių ir jaunučių chorus, kanklių ansamblį, akordeonistų ansamblį, smuikininkų ansamblį, styginių instrumentų  ansamblį, vokalinį ansamblį ir kitus įvairios mažesnės sudėties ansamblius. Mokinių skaičius pastaruosius trejus metus mokykloje </w:t>
      </w:r>
      <w:r w:rsidR="00AC1F0D">
        <w:rPr>
          <w:rFonts w:eastAsia="Calibri" w:cstheme="majorBidi"/>
          <w:szCs w:val="24"/>
        </w:rPr>
        <w:t xml:space="preserve">nežymiai </w:t>
      </w:r>
      <w:r w:rsidR="00AC1F0D" w:rsidRPr="00AC1F0D">
        <w:rPr>
          <w:rFonts w:eastAsia="Calibri" w:cstheme="majorBidi"/>
          <w:szCs w:val="24"/>
        </w:rPr>
        <w:t>didėja</w:t>
      </w:r>
      <w:r w:rsidR="00AC1F0D">
        <w:rPr>
          <w:rFonts w:eastAsia="Calibri" w:cstheme="majorBidi"/>
          <w:szCs w:val="24"/>
        </w:rPr>
        <w:t>.</w:t>
      </w:r>
    </w:p>
    <w:p w14:paraId="6860F9E2" w14:textId="77777777" w:rsidR="00900DBF" w:rsidRDefault="00900DBF">
      <w:pPr>
        <w:spacing w:line="276" w:lineRule="auto"/>
        <w:ind w:firstLine="720"/>
        <w:jc w:val="both"/>
        <w:rPr>
          <w:rFonts w:asciiTheme="majorBidi" w:eastAsia="Calibri" w:hAnsiTheme="majorBidi" w:cstheme="majorBidi"/>
          <w:szCs w:val="24"/>
        </w:rPr>
      </w:pPr>
    </w:p>
    <w:p w14:paraId="6B5F2F43" w14:textId="77777777" w:rsidR="00900DBF" w:rsidRDefault="0014361C">
      <w:pPr>
        <w:spacing w:line="276" w:lineRule="auto"/>
        <w:ind w:firstLine="720"/>
        <w:jc w:val="both"/>
        <w:rPr>
          <w:rFonts w:asciiTheme="majorBidi" w:eastAsia="Calibri" w:hAnsiTheme="majorBidi" w:cstheme="majorBidi"/>
          <w:szCs w:val="24"/>
        </w:rPr>
      </w:pPr>
      <w:r>
        <w:rPr>
          <w:noProof/>
          <w:lang w:eastAsia="lt-LT"/>
        </w:rPr>
        <w:drawing>
          <wp:inline distT="0" distB="0" distL="0" distR="0" wp14:anchorId="470E952B" wp14:editId="157D5F6D">
            <wp:extent cx="4570730" cy="274193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A50737" w14:textId="77777777" w:rsidR="00900DBF" w:rsidRPr="00AC1F0D" w:rsidRDefault="0014361C">
      <w:pPr>
        <w:spacing w:line="276" w:lineRule="auto"/>
        <w:ind w:firstLine="720"/>
        <w:jc w:val="both"/>
        <w:rPr>
          <w:rFonts w:asciiTheme="majorBidi" w:hAnsiTheme="majorBidi" w:cstheme="majorBidi"/>
          <w:szCs w:val="24"/>
        </w:rPr>
      </w:pPr>
      <w:r w:rsidRPr="00AC1F0D">
        <w:rPr>
          <w:rFonts w:cstheme="majorBidi"/>
          <w:szCs w:val="24"/>
        </w:rPr>
        <w:t>1 pav. Prienų meno mokyklos mokinių skaičiaus pokytis 2022–2024 metais</w:t>
      </w:r>
    </w:p>
    <w:p w14:paraId="7F1295C7" w14:textId="77777777" w:rsidR="00900DBF" w:rsidRDefault="0014361C">
      <w:pPr>
        <w:spacing w:line="276" w:lineRule="auto"/>
        <w:ind w:firstLine="720"/>
        <w:jc w:val="both"/>
        <w:rPr>
          <w:rFonts w:asciiTheme="majorBidi" w:hAnsiTheme="majorBidi" w:cstheme="majorBidi"/>
          <w:szCs w:val="24"/>
        </w:rPr>
      </w:pPr>
      <w:r>
        <w:rPr>
          <w:rFonts w:cstheme="majorBidi"/>
          <w:szCs w:val="24"/>
        </w:rPr>
        <w:t xml:space="preserve">Mokykloje ir Jiezno bei </w:t>
      </w:r>
      <w:r>
        <w:rPr>
          <w:rStyle w:val="FontStyle13"/>
          <w:rFonts w:eastAsiaTheme="majorEastAsia" w:cstheme="majorBidi"/>
          <w:sz w:val="24"/>
          <w:szCs w:val="24"/>
        </w:rPr>
        <w:t xml:space="preserve">Veiverių Antano Kučingio filialuose </w:t>
      </w:r>
      <w:r>
        <w:rPr>
          <w:rFonts w:cstheme="majorBidi"/>
          <w:szCs w:val="24"/>
        </w:rPr>
        <w:t xml:space="preserve">dirba 41 mokytojas. Jie yra įgiję  įvairias  kvalifikacines kategorijas (1 ekspertas,  11 metodininkų, 22 vyresnieji mokytojai ir 7 mokytojai). </w:t>
      </w:r>
      <w:r w:rsidRPr="00AC1F0D">
        <w:rPr>
          <w:rFonts w:cstheme="majorBidi"/>
          <w:szCs w:val="24"/>
        </w:rPr>
        <w:t xml:space="preserve">Mokykloje dirba 17 etatinių darbuotojų (viso skirta 12,0 etato): direktorė (1etatas), </w:t>
      </w:r>
      <w:r w:rsidRPr="00AC1F0D">
        <w:rPr>
          <w:rFonts w:cstheme="majorBidi"/>
          <w:szCs w:val="24"/>
        </w:rPr>
        <w:lastRenderedPageBreak/>
        <w:t>dvi filialų koordinatorės (1 etatas), ūkvedė (1 etatas), vyresnioji buhalterė (1 etatas), buhalterė (0,5 etato), raštinės administratorė (1 etatas), kompiuterininkas (0,5 etato), bibliotekininkė (0,25 etato) instrumentų derintojas (1 etatas), trys valytojos (2,25 etato), budėtoja (0,75 etato), keturi  darbininkai (1,75 etato). Iš viso mokykloje dirba   57 darbuotojai.</w:t>
      </w:r>
    </w:p>
    <w:p w14:paraId="7E7D74C7" w14:textId="77777777" w:rsidR="00900DBF" w:rsidRDefault="00900DBF">
      <w:pPr>
        <w:spacing w:line="276" w:lineRule="auto"/>
        <w:ind w:firstLine="1080"/>
        <w:rPr>
          <w:rFonts w:asciiTheme="majorBidi" w:hAnsiTheme="majorBidi" w:cstheme="majorBidi"/>
          <w:szCs w:val="24"/>
        </w:rPr>
      </w:pPr>
    </w:p>
    <w:p w14:paraId="2DF5F66C" w14:textId="77777777" w:rsidR="00900DBF" w:rsidRDefault="0014361C">
      <w:pPr>
        <w:spacing w:line="276" w:lineRule="auto"/>
        <w:ind w:firstLine="1080"/>
        <w:jc w:val="center"/>
        <w:rPr>
          <w:rFonts w:asciiTheme="majorBidi" w:hAnsiTheme="majorBidi" w:cstheme="majorBidi"/>
          <w:b/>
          <w:bCs/>
          <w:szCs w:val="24"/>
        </w:rPr>
      </w:pPr>
      <w:r>
        <w:rPr>
          <w:rFonts w:cstheme="majorBidi"/>
          <w:b/>
          <w:bCs/>
          <w:szCs w:val="24"/>
        </w:rPr>
        <w:t>STRATEGINIŲ VEIKLOS TIKSLŲ ĮGYVENDINIMAS</w:t>
      </w:r>
    </w:p>
    <w:p w14:paraId="4FFB5816" w14:textId="77777777" w:rsidR="00900DBF" w:rsidRDefault="00900DBF">
      <w:pPr>
        <w:spacing w:line="276" w:lineRule="auto"/>
        <w:ind w:firstLine="1080"/>
        <w:rPr>
          <w:rFonts w:asciiTheme="majorBidi" w:hAnsiTheme="majorBidi" w:cstheme="majorBidi"/>
          <w:b/>
          <w:bCs/>
          <w:iCs/>
          <w:szCs w:val="24"/>
        </w:rPr>
      </w:pPr>
    </w:p>
    <w:p w14:paraId="786F2F70" w14:textId="77777777" w:rsidR="00900DBF" w:rsidRDefault="0014361C">
      <w:pPr>
        <w:tabs>
          <w:tab w:val="left" w:pos="426"/>
          <w:tab w:val="left" w:pos="700"/>
        </w:tabs>
        <w:spacing w:line="276" w:lineRule="auto"/>
        <w:jc w:val="both"/>
        <w:rPr>
          <w:rFonts w:asciiTheme="majorBidi" w:hAnsiTheme="majorBidi" w:cstheme="majorBidi"/>
          <w:color w:val="FF0000"/>
          <w:szCs w:val="24"/>
          <w:lang w:eastAsia="lt-LT"/>
        </w:rPr>
      </w:pPr>
      <w:r>
        <w:rPr>
          <w:rFonts w:cstheme="majorBidi"/>
          <w:szCs w:val="24"/>
          <w:lang w:eastAsia="lt-LT"/>
        </w:rPr>
        <w:tab/>
        <w:t xml:space="preserve">2024 m. mokyklos veikla grindžiama Prienų meno mokyklos nuostatais, patvirtintais Prienų r. savivaldybės tarybos </w:t>
      </w:r>
      <w:r>
        <w:rPr>
          <w:rFonts w:cstheme="majorBidi"/>
          <w:szCs w:val="24"/>
        </w:rPr>
        <w:t>2024 m. vasario 29 d</w:t>
      </w:r>
      <w:r>
        <w:rPr>
          <w:rFonts w:cstheme="majorBidi"/>
          <w:szCs w:val="24"/>
          <w:lang w:eastAsia="lt-LT"/>
        </w:rPr>
        <w:t xml:space="preserve"> sprendimu Nr. T3-48, 2022-2024 m. Strateginiu planu, patvirtintu </w:t>
      </w:r>
      <w:r w:rsidRPr="00AC1F0D">
        <w:rPr>
          <w:rFonts w:cstheme="majorBidi"/>
          <w:szCs w:val="24"/>
          <w:lang w:eastAsia="lt-LT"/>
        </w:rPr>
        <w:t xml:space="preserve">Prienų r. savivaldybės administracijos direktoriaus </w:t>
      </w:r>
      <w:r w:rsidRPr="00AC1F0D">
        <w:rPr>
          <w:rFonts w:cstheme="majorBidi"/>
          <w:szCs w:val="24"/>
        </w:rPr>
        <w:t xml:space="preserve">2022 </w:t>
      </w:r>
      <w:r>
        <w:rPr>
          <w:rFonts w:cstheme="majorBidi"/>
          <w:szCs w:val="24"/>
        </w:rPr>
        <w:t xml:space="preserve">m. birželio 7 d. įsakymu Nr. V1-16, taip pat  Mokyklos 2023–2024 m. m. veiklos planu, patvirtintu </w:t>
      </w:r>
      <w:r w:rsidRPr="00AC1F0D">
        <w:rPr>
          <w:rFonts w:cstheme="majorBidi"/>
          <w:szCs w:val="24"/>
        </w:rPr>
        <w:t xml:space="preserve">Prienų meno mokyklos </w:t>
      </w:r>
      <w:r>
        <w:rPr>
          <w:rFonts w:cstheme="majorBidi"/>
          <w:szCs w:val="24"/>
        </w:rPr>
        <w:t xml:space="preserve">2023 m. rugsėjo 1 d. įsakymu Nr. (1.3.)V1-20 bei Mokyklos 2024–2025 m. m. veiklos planu, patvirtintu </w:t>
      </w:r>
      <w:r w:rsidRPr="00AC1F0D">
        <w:rPr>
          <w:rFonts w:cstheme="majorBidi"/>
          <w:szCs w:val="24"/>
        </w:rPr>
        <w:t>Prienų meno mokyklos 2024 m. rugsėjo 2 d. įsakymu Nr.(</w:t>
      </w:r>
      <w:r>
        <w:rPr>
          <w:rFonts w:cstheme="majorBidi"/>
          <w:szCs w:val="24"/>
        </w:rPr>
        <w:t>1.3)V1-18.</w:t>
      </w:r>
    </w:p>
    <w:p w14:paraId="5C7BC7A8" w14:textId="159F564F" w:rsidR="00900DBF" w:rsidRPr="00AC1F0D" w:rsidRDefault="0014361C">
      <w:pPr>
        <w:tabs>
          <w:tab w:val="left" w:pos="426"/>
          <w:tab w:val="left" w:pos="700"/>
        </w:tabs>
        <w:spacing w:line="276" w:lineRule="auto"/>
        <w:ind w:firstLine="454"/>
        <w:jc w:val="both"/>
        <w:rPr>
          <w:rFonts w:asciiTheme="majorBidi" w:hAnsiTheme="majorBidi" w:cstheme="majorBidi"/>
          <w:szCs w:val="24"/>
          <w:lang w:eastAsia="lt-LT"/>
        </w:rPr>
      </w:pPr>
      <w:r>
        <w:rPr>
          <w:rFonts w:cstheme="majorBidi"/>
          <w:szCs w:val="24"/>
        </w:rPr>
        <w:t xml:space="preserve">2024 m. buvo siekiama toliau </w:t>
      </w:r>
      <w:r w:rsidRPr="00AC1F0D">
        <w:rPr>
          <w:rFonts w:cstheme="majorBidi"/>
          <w:szCs w:val="24"/>
        </w:rPr>
        <w:t>įgyvendinti Prienų meno mokyklos 2021–2024 metų strateginio plano (toliau – Strateginis planas) tikslus:</w:t>
      </w:r>
    </w:p>
    <w:p w14:paraId="13A76E7F" w14:textId="77777777" w:rsidR="00900DBF" w:rsidRDefault="0014361C">
      <w:pPr>
        <w:tabs>
          <w:tab w:val="left" w:pos="426"/>
          <w:tab w:val="left" w:pos="700"/>
        </w:tabs>
        <w:spacing w:line="276" w:lineRule="auto"/>
        <w:ind w:firstLine="454"/>
        <w:jc w:val="both"/>
        <w:rPr>
          <w:rFonts w:asciiTheme="majorBidi" w:hAnsiTheme="majorBidi" w:cstheme="majorBidi"/>
          <w:color w:val="FF0000"/>
          <w:szCs w:val="24"/>
          <w:lang w:eastAsia="lt-LT"/>
        </w:rPr>
      </w:pPr>
      <w:r>
        <w:rPr>
          <w:rFonts w:cstheme="majorBidi"/>
          <w:szCs w:val="24"/>
        </w:rPr>
        <w:t>–  Tobulinti ugdymo kokybę, siekiant besimokančiojo asmeninės pažangos;</w:t>
      </w:r>
    </w:p>
    <w:p w14:paraId="1946B849" w14:textId="77777777" w:rsidR="00900DBF" w:rsidRDefault="0014361C">
      <w:pPr>
        <w:tabs>
          <w:tab w:val="left" w:pos="426"/>
          <w:tab w:val="left" w:pos="700"/>
        </w:tabs>
        <w:spacing w:line="276" w:lineRule="auto"/>
        <w:ind w:firstLine="454"/>
        <w:jc w:val="both"/>
        <w:rPr>
          <w:rFonts w:asciiTheme="majorBidi" w:hAnsiTheme="majorBidi" w:cstheme="majorBidi"/>
          <w:color w:val="FF0000"/>
          <w:szCs w:val="24"/>
          <w:lang w:eastAsia="lt-LT"/>
        </w:rPr>
      </w:pPr>
      <w:r>
        <w:rPr>
          <w:rFonts w:cstheme="majorBidi"/>
          <w:szCs w:val="24"/>
        </w:rPr>
        <w:t>–  Plėtoti muzikinę švietėjišką veiklą, ugdant bendruomeniškumą.</w:t>
      </w:r>
    </w:p>
    <w:p w14:paraId="49187A32" w14:textId="1CBEDC09" w:rsidR="00900DBF" w:rsidRDefault="0014361C">
      <w:pPr>
        <w:tabs>
          <w:tab w:val="left" w:pos="426"/>
          <w:tab w:val="left" w:pos="700"/>
        </w:tabs>
        <w:spacing w:line="276" w:lineRule="auto"/>
        <w:ind w:firstLine="454"/>
        <w:jc w:val="both"/>
        <w:rPr>
          <w:rFonts w:asciiTheme="majorBidi" w:hAnsiTheme="majorBidi" w:cstheme="majorBidi"/>
          <w:color w:val="FF0000"/>
          <w:szCs w:val="24"/>
          <w:lang w:eastAsia="lt-LT"/>
        </w:rPr>
      </w:pPr>
      <w:r>
        <w:rPr>
          <w:rFonts w:cstheme="majorBidi"/>
          <w:szCs w:val="24"/>
        </w:rPr>
        <w:t xml:space="preserve">Šių tikslų įgyvendinimo priemonės detalizuotos Mokyklos 2023–2024 mokslo metų ir 2024–2025 mokslo metų veiklos planuose, </w:t>
      </w:r>
      <w:r w:rsidRPr="00AC1F0D">
        <w:rPr>
          <w:rFonts w:cstheme="majorBidi"/>
          <w:szCs w:val="24"/>
        </w:rPr>
        <w:t>kuriuose</w:t>
      </w:r>
      <w:r>
        <w:rPr>
          <w:rFonts w:cstheme="majorBidi"/>
          <w:szCs w:val="24"/>
        </w:rPr>
        <w:t xml:space="preserve"> daug dėmesio buvo skiriama ugdymo proceso gerinimo organizavimui, ugdytinių individualių gebėjimų realizavimui bei </w:t>
      </w:r>
      <w:r w:rsidRPr="00AC1F0D">
        <w:rPr>
          <w:rFonts w:cstheme="majorBidi"/>
          <w:szCs w:val="24"/>
        </w:rPr>
        <w:t xml:space="preserve">kiekvieno mokinio </w:t>
      </w:r>
      <w:r>
        <w:rPr>
          <w:rFonts w:cstheme="majorBidi"/>
          <w:szCs w:val="24"/>
        </w:rPr>
        <w:t xml:space="preserve">asmeninei pažangai pasiekti. </w:t>
      </w:r>
    </w:p>
    <w:p w14:paraId="4B14BA69" w14:textId="77777777" w:rsidR="00900DBF" w:rsidRDefault="0014361C">
      <w:pPr>
        <w:tabs>
          <w:tab w:val="left" w:pos="426"/>
          <w:tab w:val="left" w:pos="700"/>
        </w:tabs>
        <w:spacing w:line="276" w:lineRule="auto"/>
        <w:ind w:firstLine="454"/>
        <w:jc w:val="both"/>
        <w:rPr>
          <w:rFonts w:asciiTheme="majorBidi" w:hAnsiTheme="majorBidi" w:cstheme="majorBidi"/>
          <w:color w:val="FF0000"/>
          <w:szCs w:val="24"/>
          <w:lang w:eastAsia="lt-LT"/>
        </w:rPr>
      </w:pPr>
      <w:r>
        <w:rPr>
          <w:rFonts w:cstheme="majorBidi"/>
          <w:szCs w:val="24"/>
        </w:rPr>
        <w:t>Įgyvendintas  veiklos plano tikslas</w:t>
      </w:r>
      <w:r>
        <w:rPr>
          <w:rFonts w:cstheme="majorBidi"/>
          <w:b/>
          <w:bCs/>
          <w:szCs w:val="24"/>
        </w:rPr>
        <w:t xml:space="preserve"> </w:t>
      </w:r>
      <w:r>
        <w:rPr>
          <w:rFonts w:cstheme="majorBidi"/>
          <w:b/>
          <w:bCs/>
          <w:i/>
          <w:szCs w:val="24"/>
        </w:rPr>
        <w:t>1.1.</w:t>
      </w:r>
      <w:r>
        <w:rPr>
          <w:b/>
          <w:bCs/>
          <w:szCs w:val="24"/>
        </w:rPr>
        <w:t xml:space="preserve"> Mokyklos administracijos, mokytojų bei tėvų bendradarbiavimo plėtra tobulinant  ugdymo procesą.</w:t>
      </w:r>
    </w:p>
    <w:p w14:paraId="75403DB6" w14:textId="610BF5BF" w:rsidR="00900DBF" w:rsidRDefault="0014361C">
      <w:pPr>
        <w:tabs>
          <w:tab w:val="left" w:pos="426"/>
          <w:tab w:val="left" w:pos="700"/>
        </w:tabs>
        <w:spacing w:line="276" w:lineRule="auto"/>
        <w:ind w:firstLine="454"/>
        <w:jc w:val="both"/>
        <w:rPr>
          <w:rFonts w:asciiTheme="majorBidi" w:hAnsiTheme="majorBidi" w:cstheme="majorBidi"/>
          <w:color w:val="FF0000"/>
          <w:szCs w:val="24"/>
          <w:lang w:eastAsia="lt-LT"/>
        </w:rPr>
      </w:pPr>
      <w:r>
        <w:rPr>
          <w:szCs w:val="24"/>
        </w:rPr>
        <w:t xml:space="preserve">Siekiant aktyvesnio mokinių tėvų įsitraukimo į ugdymo proceso organizavimą, ugdymo(si) eigą ir pažangą buvo parengtas ir </w:t>
      </w:r>
      <w:r w:rsidRPr="00AC1F0D">
        <w:rPr>
          <w:szCs w:val="24"/>
          <w:lang w:eastAsia="lt-LT"/>
        </w:rPr>
        <w:t xml:space="preserve">Prienų meno mokyklos direktorės 2024 m. gruodžio 30 d. įsakymu Nr. (1.3.)V1-40 patvirtintas Prienų meno mokyklos  </w:t>
      </w:r>
      <w:r>
        <w:rPr>
          <w:szCs w:val="24"/>
          <w:lang w:eastAsia="lt-LT"/>
        </w:rPr>
        <w:t>mokinių tėvų (globėjų/rūpintojų) informavimo ir švietimo  tvarkos aprašas.</w:t>
      </w:r>
    </w:p>
    <w:p w14:paraId="7069414B" w14:textId="1896A2F5" w:rsidR="00D0788B" w:rsidRPr="00D0788B" w:rsidRDefault="0014361C" w:rsidP="00BD7923">
      <w:pPr>
        <w:spacing w:line="276" w:lineRule="auto"/>
        <w:jc w:val="both"/>
        <w:rPr>
          <w:szCs w:val="24"/>
        </w:rPr>
      </w:pPr>
      <w:r>
        <w:rPr>
          <w:rFonts w:cstheme="majorBidi"/>
          <w:szCs w:val="24"/>
        </w:rPr>
        <w:t>Išanalizuoti pusmečių ir metinių įvertinimų rodikliai</w:t>
      </w:r>
      <w:r w:rsidR="00AC1F0D">
        <w:rPr>
          <w:rFonts w:cstheme="majorBidi"/>
          <w:szCs w:val="24"/>
        </w:rPr>
        <w:t>.</w:t>
      </w:r>
      <w:r>
        <w:rPr>
          <w:rFonts w:cstheme="majorBidi"/>
          <w:szCs w:val="24"/>
        </w:rPr>
        <w:t xml:space="preserve">  Mokymosi pažangos vertinimo rodiklis mokyklos muzikiniuose skyriuose (su filialais) – 9,5 balo (rodiklis lyginant su praėjusiais metais nepakito), dailės skyriuje – 9,2 balo.  Atliktas giluminis 2023-2024 mokslo metų mokyklos veiklos kokybės „Ugdymo pasiekimų ir pažangos srities“  įsivertinimas. Įsivertinimą vykdė mokyklų veiklos kokybės įsivertinimo darbo grupė patvirtinta direktorės įsakymu 2023 m. rugsėj</w:t>
      </w:r>
      <w:r w:rsidR="00AC1F0D">
        <w:rPr>
          <w:rFonts w:cstheme="majorBidi"/>
          <w:szCs w:val="24"/>
        </w:rPr>
        <w:t>o</w:t>
      </w:r>
      <w:r>
        <w:rPr>
          <w:rFonts w:cstheme="majorBidi"/>
          <w:szCs w:val="24"/>
        </w:rPr>
        <w:t xml:space="preserve">1 d. Nr.(1.3.)V1-24. </w:t>
      </w:r>
      <w:r w:rsidRPr="00AC1F0D">
        <w:rPr>
          <w:rFonts w:cstheme="majorBidi"/>
          <w:szCs w:val="24"/>
        </w:rPr>
        <w:t xml:space="preserve">Įsivertinimo apklausoje dalyvavo </w:t>
      </w:r>
      <w:r>
        <w:rPr>
          <w:rFonts w:cstheme="majorBidi"/>
          <w:szCs w:val="24"/>
        </w:rPr>
        <w:t>mokiniai (82 %), tėvai (32 %), mokytojai (100%</w:t>
      </w:r>
      <w:r w:rsidRPr="00525659">
        <w:rPr>
          <w:rFonts w:cstheme="majorBidi"/>
          <w:szCs w:val="24"/>
        </w:rPr>
        <w:t>). Lyginant su ankstesniais metais tai yra dide</w:t>
      </w:r>
      <w:r w:rsidR="00525659" w:rsidRPr="00525659">
        <w:rPr>
          <w:rFonts w:cstheme="majorBidi"/>
          <w:szCs w:val="24"/>
        </w:rPr>
        <w:t>snė</w:t>
      </w:r>
      <w:r w:rsidRPr="00525659">
        <w:rPr>
          <w:rFonts w:cstheme="majorBidi"/>
          <w:szCs w:val="24"/>
        </w:rPr>
        <w:t xml:space="preserve"> anketas užpildžiusių bendruomenės narių dalis. Išanalizavus anketų duomenis </w:t>
      </w:r>
      <w:r>
        <w:rPr>
          <w:rFonts w:cstheme="majorBidi"/>
          <w:szCs w:val="24"/>
        </w:rPr>
        <w:t xml:space="preserve">nustatyti Prienų meno mokyklos veiklos </w:t>
      </w:r>
      <w:r w:rsidRPr="00D0788B">
        <w:rPr>
          <w:rFonts w:cstheme="majorBidi"/>
          <w:szCs w:val="24"/>
        </w:rPr>
        <w:t>stiprieji</w:t>
      </w:r>
      <w:r>
        <w:rPr>
          <w:rFonts w:cstheme="majorBidi"/>
          <w:szCs w:val="24"/>
        </w:rPr>
        <w:t xml:space="preserve"> </w:t>
      </w:r>
      <w:r w:rsidR="00D0788B">
        <w:rPr>
          <w:rFonts w:cstheme="majorBidi"/>
          <w:szCs w:val="24"/>
        </w:rPr>
        <w:t>(</w:t>
      </w:r>
      <w:r w:rsidR="00D0788B" w:rsidRPr="00D0788B">
        <w:rPr>
          <w:i/>
          <w:iCs/>
          <w:szCs w:val="24"/>
        </w:rPr>
        <w:t>Kryptingas mokinių pasiekimų vertinimo  ir refleksijos stiprinimas pamokoje)</w:t>
      </w:r>
    </w:p>
    <w:p w14:paraId="6F80F206" w14:textId="2D7F27CE" w:rsidR="00900DBF" w:rsidRPr="00D0788B" w:rsidRDefault="0014361C" w:rsidP="00BD7923">
      <w:pPr>
        <w:spacing w:line="276" w:lineRule="auto"/>
        <w:jc w:val="both"/>
        <w:rPr>
          <w:szCs w:val="24"/>
        </w:rPr>
      </w:pPr>
      <w:r>
        <w:rPr>
          <w:rFonts w:cstheme="majorBidi"/>
          <w:szCs w:val="24"/>
        </w:rPr>
        <w:t xml:space="preserve">bei tobulintini </w:t>
      </w:r>
      <w:r w:rsidR="00D0788B">
        <w:rPr>
          <w:rFonts w:cstheme="majorBidi"/>
          <w:szCs w:val="24"/>
        </w:rPr>
        <w:t>(</w:t>
      </w:r>
      <w:r w:rsidR="00D0788B" w:rsidRPr="00D0788B">
        <w:rPr>
          <w:i/>
          <w:iCs/>
          <w:szCs w:val="24"/>
        </w:rPr>
        <w:t>Ugdytinių asmenybės ir akademinės pažangos skatinimas per aktyvų savivertės ugdymą)</w:t>
      </w:r>
      <w:r w:rsidR="00D0788B">
        <w:rPr>
          <w:szCs w:val="24"/>
        </w:rPr>
        <w:t xml:space="preserve"> </w:t>
      </w:r>
      <w:r>
        <w:rPr>
          <w:rFonts w:cstheme="majorBidi"/>
          <w:szCs w:val="24"/>
        </w:rPr>
        <w:t xml:space="preserve">aspektai Giluminio veiklos kokybės įsivertinimo išvados aptartos ir pristatytos Mokytojų tarybos posėdyje 2024 m. birželio 13 d. protokolas Nr.(1.5)V3-2. Duomenys panaudoti ugdymo </w:t>
      </w:r>
      <w:r>
        <w:rPr>
          <w:rFonts w:cstheme="majorBidi"/>
          <w:szCs w:val="24"/>
        </w:rPr>
        <w:lastRenderedPageBreak/>
        <w:t xml:space="preserve">proceso planavimui, veiklos kokybės gerinimui. 2024–2025 mokslo metams veiklos kokybės giluminiam įsivertinimui pasirinkta Ugdymo(si) aplinkos sritis. </w:t>
      </w:r>
    </w:p>
    <w:p w14:paraId="40D1BE53" w14:textId="277DC698" w:rsidR="00900DBF" w:rsidRDefault="0014361C">
      <w:pPr>
        <w:tabs>
          <w:tab w:val="left" w:pos="426"/>
          <w:tab w:val="left" w:pos="700"/>
        </w:tabs>
        <w:spacing w:line="276" w:lineRule="auto"/>
        <w:ind w:firstLine="454"/>
        <w:jc w:val="both"/>
        <w:rPr>
          <w:rFonts w:asciiTheme="majorBidi" w:hAnsiTheme="majorBidi" w:cstheme="majorBidi"/>
          <w:color w:val="FF0000"/>
          <w:szCs w:val="24"/>
          <w:lang w:eastAsia="lt-LT"/>
        </w:rPr>
      </w:pPr>
      <w:r w:rsidRPr="00D0788B">
        <w:rPr>
          <w:rFonts w:cstheme="majorBidi"/>
          <w:szCs w:val="24"/>
        </w:rPr>
        <w:t xml:space="preserve"> </w:t>
      </w:r>
      <w:r w:rsidRPr="00D0788B">
        <w:t xml:space="preserve">Siekiant modernizuoti mokyklos ugdymo(si) aplinką 2024 m. įsigyta interaktyvi lenta, kuri naudojama solfedžio kabinete. </w:t>
      </w:r>
      <w:r>
        <w:t xml:space="preserve">Pamokos tapo aktyviau lankomos, kokybiškesnio turinio. Tėveliai mano, kad jų vaikams labiau patinka mokytis ir solfedis mokykloje tapo „įdomus“. Ši </w:t>
      </w:r>
      <w:r>
        <w:rPr>
          <w:rFonts w:cstheme="majorBidi"/>
          <w:szCs w:val="24"/>
        </w:rPr>
        <w:t>priemonė padėjo integruoti informacines technologijas, padidino mokymosi tempą ir gylį, išplėtė mokytojo didaktinių metodų arsenalą, pagerino mokinių motyvaciją, kūrybiškumą ir džiugesį ugdymo procese. Įsigyti du konferenciniai ekranai patalpinti mokyklos salėje ir dailės kabinete. Pagerėjo kvalifikacijos tobulinimo seminarų, konferencijų, mokinių koncertų, pamokų ir kitų renginių organizavimo ir pravedimo kokybė. Mokymosi bei darbo aplinka tapo saugesnė ir jaukesnė.</w:t>
      </w:r>
    </w:p>
    <w:p w14:paraId="497F5097" w14:textId="77777777" w:rsidR="00900DBF" w:rsidRDefault="0014361C">
      <w:pPr>
        <w:tabs>
          <w:tab w:val="left" w:pos="426"/>
          <w:tab w:val="left" w:pos="700"/>
        </w:tabs>
        <w:spacing w:line="276" w:lineRule="auto"/>
        <w:ind w:firstLine="454"/>
        <w:jc w:val="both"/>
        <w:rPr>
          <w:rFonts w:asciiTheme="majorBidi" w:hAnsiTheme="majorBidi" w:cstheme="majorBidi"/>
          <w:color w:val="FF0000"/>
          <w:szCs w:val="24"/>
          <w:lang w:eastAsia="lt-LT"/>
        </w:rPr>
      </w:pPr>
      <w:r>
        <w:rPr>
          <w:rFonts w:cstheme="majorBidi"/>
          <w:szCs w:val="24"/>
        </w:rPr>
        <w:t xml:space="preserve">Kitas įgyvendintas veiklos plano tikslas </w:t>
      </w:r>
      <w:r>
        <w:rPr>
          <w:rFonts w:cstheme="majorBidi"/>
          <w:b/>
          <w:bCs/>
          <w:i/>
          <w:szCs w:val="24"/>
        </w:rPr>
        <w:t xml:space="preserve">1.2. </w:t>
      </w:r>
      <w:r>
        <w:rPr>
          <w:b/>
          <w:bCs/>
          <w:szCs w:val="24"/>
        </w:rPr>
        <w:t>Palankaus mokyklos įvaizdžio bei viešųjų ryšių formavimas ir puoselėjimas</w:t>
      </w:r>
    </w:p>
    <w:p w14:paraId="344393E9" w14:textId="61E6300B" w:rsidR="00900DBF" w:rsidRDefault="0014361C">
      <w:pPr>
        <w:tabs>
          <w:tab w:val="left" w:pos="426"/>
          <w:tab w:val="left" w:pos="700"/>
        </w:tabs>
        <w:spacing w:line="276" w:lineRule="auto"/>
        <w:ind w:firstLine="454"/>
        <w:jc w:val="both"/>
        <w:rPr>
          <w:rFonts w:asciiTheme="majorBidi" w:hAnsiTheme="majorBidi" w:cstheme="majorBidi"/>
          <w:color w:val="FF0000"/>
          <w:szCs w:val="24"/>
          <w:lang w:eastAsia="lt-LT"/>
        </w:rPr>
      </w:pPr>
      <w:r>
        <w:rPr>
          <w:szCs w:val="24"/>
        </w:rPr>
        <w:t xml:space="preserve">Informuojant visuomenę apie  </w:t>
      </w:r>
      <w:r w:rsidRPr="00D0788B">
        <w:rPr>
          <w:szCs w:val="24"/>
        </w:rPr>
        <w:t xml:space="preserve">mokyklos </w:t>
      </w:r>
      <w:r>
        <w:rPr>
          <w:szCs w:val="24"/>
        </w:rPr>
        <w:t xml:space="preserve">veiklą ir išskirtinumą sukurtas  </w:t>
      </w:r>
      <w:r>
        <w:rPr>
          <w:rFonts w:cstheme="majorBidi"/>
          <w:szCs w:val="24"/>
        </w:rPr>
        <w:t xml:space="preserve">naujas mokyklos elektroninės svetainės tinklapis </w:t>
      </w:r>
      <w:hyperlink r:id="rId9">
        <w:r w:rsidR="00900DBF">
          <w:rPr>
            <w:rStyle w:val="Internetosaitas"/>
            <w:rFonts w:ascii="Candara" w:eastAsia="Candara" w:hAnsi="Candara" w:cs="Candara"/>
            <w:i/>
            <w:iCs/>
            <w:color w:val="auto"/>
          </w:rPr>
          <w:t>https://prienumm.lt</w:t>
        </w:r>
      </w:hyperlink>
      <w:r>
        <w:rPr>
          <w:rFonts w:ascii="Candara" w:eastAsia="Candara" w:hAnsi="Candara" w:cs="Candara"/>
        </w:rPr>
        <w:t>.</w:t>
      </w:r>
      <w:r w:rsidRPr="00D0788B">
        <w:rPr>
          <w:rFonts w:asciiTheme="majorBidi" w:eastAsia="Candara" w:hAnsiTheme="majorBidi" w:cstheme="majorBidi"/>
        </w:rPr>
        <w:t xml:space="preserve"> Jame</w:t>
      </w:r>
      <w:r w:rsidRPr="00D0788B">
        <w:rPr>
          <w:rFonts w:ascii="Candara" w:eastAsia="Candara" w:hAnsi="Candara" w:cs="Candara"/>
        </w:rPr>
        <w:t xml:space="preserve"> </w:t>
      </w:r>
      <w:r>
        <w:rPr>
          <w:rFonts w:ascii="Candara" w:eastAsia="Candara" w:hAnsi="Candara" w:cs="Candara"/>
        </w:rPr>
        <w:t>v</w:t>
      </w:r>
      <w:r>
        <w:rPr>
          <w:rFonts w:cstheme="majorBidi"/>
          <w:szCs w:val="24"/>
        </w:rPr>
        <w:t xml:space="preserve">iešinama informacija apie svarbiausius mokyklos renginius, vykdomus projektus bei naujas iniciatyvas. Informacija atvira ir prieinama visiems, </w:t>
      </w:r>
      <w:r w:rsidRPr="00D0788B">
        <w:rPr>
          <w:rFonts w:cstheme="majorBidi"/>
          <w:szCs w:val="24"/>
        </w:rPr>
        <w:t xml:space="preserve">todėl atsirado </w:t>
      </w:r>
      <w:r>
        <w:rPr>
          <w:rFonts w:cstheme="majorBidi"/>
          <w:szCs w:val="24"/>
        </w:rPr>
        <w:t xml:space="preserve">naujos bendradarbiavimo galimybės. </w:t>
      </w:r>
      <w:r w:rsidRPr="00D0788B">
        <w:rPr>
          <w:rFonts w:cstheme="majorBidi"/>
          <w:szCs w:val="24"/>
        </w:rPr>
        <w:t xml:space="preserve">Informacija apie  </w:t>
      </w:r>
      <w:r>
        <w:rPr>
          <w:rFonts w:cstheme="majorBidi"/>
          <w:szCs w:val="24"/>
        </w:rPr>
        <w:t>konkursus,  koncertus, parodas, festivalius bei kitus mokyklos renginius, laimėjimus,  rezultatus talpinama</w:t>
      </w:r>
      <w:r w:rsidR="00D0788B">
        <w:rPr>
          <w:rFonts w:cstheme="majorBidi"/>
          <w:szCs w:val="24"/>
        </w:rPr>
        <w:t xml:space="preserve">  </w:t>
      </w:r>
      <w:r>
        <w:rPr>
          <w:rFonts w:cstheme="majorBidi"/>
          <w:szCs w:val="24"/>
        </w:rPr>
        <w:t xml:space="preserve">ir  </w:t>
      </w:r>
      <w:r w:rsidRPr="00D0788B">
        <w:rPr>
          <w:rFonts w:cstheme="majorBidi"/>
          <w:szCs w:val="24"/>
        </w:rPr>
        <w:t>Facebook</w:t>
      </w:r>
      <w:r>
        <w:rPr>
          <w:rFonts w:cstheme="majorBidi"/>
          <w:szCs w:val="24"/>
        </w:rPr>
        <w:t xml:space="preserve"> paskyroje </w:t>
      </w:r>
      <w:r>
        <w:rPr>
          <w:i/>
          <w:iCs/>
          <w:szCs w:val="24"/>
        </w:rPr>
        <w:t>https://www.facebook.com/profile.php?id=100009544569985</w:t>
      </w:r>
      <w:r>
        <w:rPr>
          <w:rFonts w:cstheme="majorBidi"/>
          <w:i/>
          <w:iCs/>
          <w:szCs w:val="24"/>
        </w:rPr>
        <w:t>.</w:t>
      </w:r>
    </w:p>
    <w:p w14:paraId="1F8E306E" w14:textId="77777777" w:rsidR="00900DBF" w:rsidRDefault="0014361C">
      <w:pPr>
        <w:pStyle w:val="Standard"/>
        <w:tabs>
          <w:tab w:val="left" w:pos="426"/>
          <w:tab w:val="left" w:pos="700"/>
        </w:tabs>
        <w:spacing w:line="276" w:lineRule="auto"/>
        <w:ind w:firstLine="1191"/>
        <w:jc w:val="both"/>
      </w:pPr>
      <w:r>
        <w:rPr>
          <w:szCs w:val="24"/>
        </w:rPr>
        <w:t xml:space="preserve">Mokykla reprezentuoja savo veiklą tarptautiniuose, šalies, rajono  ir mokyklos renginiuose. </w:t>
      </w:r>
      <w:r>
        <w:rPr>
          <w:rStyle w:val="Numatytasispastraiposriftas1"/>
          <w:rFonts w:eastAsiaTheme="majorEastAsia"/>
          <w:szCs w:val="24"/>
        </w:rPr>
        <w:t>Aktyvaus mokytojų darbo ir iniciatyvumo dėka mokykloje sudarytos galimybės mokiniams ne tik mokytis, bet ir dalyvauti įvairių lygių konkursuose, festivaliuose, koncertuose, projektuose bei parodose taip siekiant nuolatinio asmeninio tobulėjimo.</w:t>
      </w:r>
    </w:p>
    <w:p w14:paraId="2CE4BD2F" w14:textId="77777777" w:rsidR="00900DBF" w:rsidRDefault="0014361C">
      <w:pPr>
        <w:spacing w:line="276" w:lineRule="auto"/>
        <w:rPr>
          <w:szCs w:val="24"/>
        </w:rPr>
      </w:pPr>
      <w:r>
        <w:rPr>
          <w:noProof/>
          <w:lang w:eastAsia="lt-LT"/>
        </w:rPr>
        <w:drawing>
          <wp:inline distT="0" distB="0" distL="0" distR="0" wp14:anchorId="05C2930C" wp14:editId="2C42D880">
            <wp:extent cx="5791835" cy="3562502"/>
            <wp:effectExtent l="0" t="0" r="1841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3A8A04" w14:textId="77777777" w:rsidR="00900DBF" w:rsidRDefault="0014361C">
      <w:pPr>
        <w:spacing w:line="276" w:lineRule="auto"/>
        <w:rPr>
          <w:szCs w:val="24"/>
        </w:rPr>
      </w:pPr>
      <w:r w:rsidRPr="00D0788B">
        <w:rPr>
          <w:szCs w:val="24"/>
        </w:rPr>
        <w:t>2 pav. Prienų meno mokyklos mokinių dalyvavimas renginiuose 2022–2024 metais.</w:t>
      </w:r>
    </w:p>
    <w:p w14:paraId="5BE2DF4A" w14:textId="77777777" w:rsidR="00D0788B" w:rsidRPr="00D0788B" w:rsidRDefault="00D0788B">
      <w:pPr>
        <w:spacing w:line="276" w:lineRule="auto"/>
        <w:rPr>
          <w:szCs w:val="24"/>
        </w:rPr>
      </w:pPr>
    </w:p>
    <w:p w14:paraId="06CDA269" w14:textId="77777777" w:rsidR="00900DBF" w:rsidRDefault="0014361C">
      <w:pPr>
        <w:pStyle w:val="Standard"/>
        <w:tabs>
          <w:tab w:val="left" w:pos="426"/>
          <w:tab w:val="left" w:pos="700"/>
        </w:tabs>
        <w:spacing w:line="276" w:lineRule="auto"/>
        <w:jc w:val="both"/>
      </w:pPr>
      <w:r>
        <w:rPr>
          <w:rStyle w:val="Numatytasispastraiposriftas1"/>
          <w:rFonts w:eastAsiaTheme="majorEastAsia"/>
          <w:szCs w:val="24"/>
        </w:rPr>
        <w:tab/>
        <w:t xml:space="preserve">Gabiausi ir labiausiai motyvuoti mokyklos muzikinių bei dailės skyrių mokiniai sėkmingai dalyvavo </w:t>
      </w:r>
      <w:r>
        <w:rPr>
          <w:rStyle w:val="Numatytasispastraiposriftas1"/>
          <w:rFonts w:eastAsiaTheme="majorEastAsia"/>
          <w:szCs w:val="24"/>
          <w:lang w:val="de-DE"/>
        </w:rPr>
        <w:t>tarptautiniuose festivaliuose bei konkursuose, kurie organizuoti  Vokietijoje (Drezdene), Austrijoje (Vienoje), Kazachstane, Latvijoje (Koknese, Marupėje) Prancūzijoje (Lione, Paryžiuje), Čekijoje (Lidice, Prahoje), Italijoje (Rimini) bei Lietuvoje.</w:t>
      </w:r>
      <w:r>
        <w:rPr>
          <w:rStyle w:val="Numatytasispastraiposriftas1"/>
          <w:rFonts w:eastAsiaTheme="majorEastAsia"/>
          <w:szCs w:val="24"/>
        </w:rPr>
        <w:t xml:space="preserve"> Daugelis šiuose renginiuose dalyvavusių mokinių tapo diplomantais arba laureatais.</w:t>
      </w:r>
    </w:p>
    <w:p w14:paraId="308E86A1" w14:textId="396D7FC4" w:rsidR="00900DBF" w:rsidRPr="00D0788B" w:rsidRDefault="0014361C">
      <w:pPr>
        <w:pStyle w:val="Standard"/>
        <w:tabs>
          <w:tab w:val="left" w:pos="426"/>
          <w:tab w:val="left" w:pos="700"/>
        </w:tabs>
        <w:spacing w:line="276" w:lineRule="auto"/>
        <w:jc w:val="both"/>
        <w:rPr>
          <w:rFonts w:asciiTheme="majorBidi" w:hAnsiTheme="majorBidi" w:cstheme="majorBidi"/>
        </w:rPr>
      </w:pPr>
      <w:r w:rsidRPr="00D0788B">
        <w:rPr>
          <w:rStyle w:val="Numatytasispastraiposriftas1"/>
          <w:rFonts w:asciiTheme="majorBidi" w:eastAsiaTheme="majorEastAsia" w:hAnsiTheme="majorBidi" w:cstheme="majorBidi"/>
          <w:szCs w:val="24"/>
        </w:rPr>
        <w:t>2024 m. Prienų meno mokyklos mokiniai aktyviai ir sėkmingai dalyvavo respublikiniuose ir tarptautiniuose konkursuose: tarptautiniuose konkursuose laureatais tapo 31 mokinys (2023 m. buvo 33; 2022 m. – 34); respublikiniuose konkursuose laureatais ir diplomantais tapo 72 mokiniai (2023 m. buvo 77, 2022 m. – 42). Lyginant su 2023 m., 2024 m. tarptautinių ir respublikinių konkursų laureatų skaičius išliko toks pat.</w:t>
      </w:r>
    </w:p>
    <w:p w14:paraId="66CF918C" w14:textId="77777777" w:rsidR="00900DBF" w:rsidRDefault="00900DBF">
      <w:pPr>
        <w:spacing w:line="276" w:lineRule="auto"/>
        <w:rPr>
          <w:szCs w:val="24"/>
        </w:rPr>
      </w:pPr>
    </w:p>
    <w:p w14:paraId="440F9781" w14:textId="77777777" w:rsidR="00900DBF" w:rsidRDefault="0014361C">
      <w:pPr>
        <w:spacing w:line="276" w:lineRule="auto"/>
        <w:rPr>
          <w:szCs w:val="24"/>
        </w:rPr>
      </w:pPr>
      <w:r>
        <w:rPr>
          <w:noProof/>
          <w:lang w:eastAsia="lt-LT"/>
        </w:rPr>
        <w:drawing>
          <wp:inline distT="0" distB="0" distL="0" distR="0" wp14:anchorId="6DC0069F" wp14:editId="7BF309C3">
            <wp:extent cx="5571490" cy="3226003"/>
            <wp:effectExtent l="0" t="0" r="1016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350748" w14:textId="77777777" w:rsidR="001815B6" w:rsidRDefault="001815B6">
      <w:pPr>
        <w:spacing w:line="276" w:lineRule="auto"/>
        <w:rPr>
          <w:szCs w:val="24"/>
        </w:rPr>
      </w:pPr>
    </w:p>
    <w:p w14:paraId="2533FC11" w14:textId="7774E9AA" w:rsidR="00900DBF" w:rsidRPr="00D0788B" w:rsidRDefault="0014361C">
      <w:pPr>
        <w:spacing w:line="276" w:lineRule="auto"/>
        <w:rPr>
          <w:szCs w:val="24"/>
        </w:rPr>
      </w:pPr>
      <w:r w:rsidRPr="00D0788B">
        <w:rPr>
          <w:szCs w:val="24"/>
        </w:rPr>
        <w:t>3 pav. Prienų meno mokyklos laureatų ir diplomantų skaičius 2022–2024 metais.</w:t>
      </w:r>
    </w:p>
    <w:p w14:paraId="5659E799" w14:textId="77777777" w:rsidR="00900DBF" w:rsidRDefault="00900DBF">
      <w:pPr>
        <w:spacing w:line="276" w:lineRule="auto"/>
        <w:rPr>
          <w:color w:val="FF0000"/>
        </w:rPr>
      </w:pPr>
    </w:p>
    <w:p w14:paraId="5216C71A" w14:textId="4EEDAE10" w:rsidR="00900DBF" w:rsidRDefault="0014361C" w:rsidP="00BD7923">
      <w:pPr>
        <w:spacing w:line="276" w:lineRule="auto"/>
        <w:jc w:val="both"/>
        <w:rPr>
          <w:szCs w:val="24"/>
        </w:rPr>
      </w:pPr>
      <w:r>
        <w:rPr>
          <w:szCs w:val="24"/>
          <w:lang w:eastAsia="lt-LT"/>
        </w:rPr>
        <w:tab/>
        <w:t xml:space="preserve">Mokyklos direktorės 2024-06-26 Nr. (1.17) V5-63 įsakymu šimtmečio Dainų šventėje </w:t>
      </w:r>
      <w:r>
        <w:rPr>
          <w:rFonts w:eastAsia="Calibri" w:cstheme="majorBidi"/>
          <w:szCs w:val="24"/>
        </w:rPr>
        <w:t xml:space="preserve">„Kad giria žaliuotų“ </w:t>
      </w:r>
      <w:r>
        <w:rPr>
          <w:szCs w:val="24"/>
          <w:lang w:eastAsia="lt-LT"/>
        </w:rPr>
        <w:t xml:space="preserve">dalyvavo du kolektyvai – Jaunių choras ir Kanklininkų ansamblis. Dalyviams pasiūta 25 komplektai stilizuotų tautinių rūbų. Mokiniams ir visai mokyklos bendruomenei tai džiugus ir motyvuojantis pasiekimas. Mokyklos kolektyvai dalyvavo ir Prienų krašto šventėje, Prienų rajono Kaziuko mugėje. </w:t>
      </w:r>
      <w:r>
        <w:rPr>
          <w:szCs w:val="24"/>
        </w:rPr>
        <w:t xml:space="preserve">Palaikoma aktyvi socialinė partnerystė su kitomis rajono institucijomis, aktyviai koncertuojama. </w:t>
      </w:r>
      <w:r w:rsidRPr="00BD7923">
        <w:rPr>
          <w:szCs w:val="24"/>
        </w:rPr>
        <w:t xml:space="preserve">Mokyklos bendruomenė organizavo 48 renginius, eksponuotos dailės klasės mokinių tapybos darbų parodos 2, inicijuoti 8 projektai.  </w:t>
      </w:r>
    </w:p>
    <w:p w14:paraId="4EE10736" w14:textId="77777777" w:rsidR="00900DBF" w:rsidRDefault="0014361C">
      <w:pPr>
        <w:spacing w:line="276" w:lineRule="auto"/>
        <w:ind w:firstLine="737"/>
        <w:jc w:val="both"/>
        <w:rPr>
          <w:szCs w:val="24"/>
        </w:rPr>
      </w:pPr>
      <w:r>
        <w:rPr>
          <w:szCs w:val="24"/>
        </w:rPr>
        <w:lastRenderedPageBreak/>
        <w:t>Bendradarbiaujant su TŪM bendrojo ugdymo mokyklomis aktyviai įsitraukėme į „Tūkstantmečio mokyklos I“ Nr.(9.27Mr)D1-425 projekto veiklas.</w:t>
      </w:r>
      <w:r>
        <w:rPr>
          <w:color w:val="222222"/>
          <w:shd w:val="clear" w:color="auto" w:fill="FFFFFF"/>
        </w:rPr>
        <w:t xml:space="preserve"> Parengtas integruotų dailės, muzikos bei lietuvių ir anglų kalbų pamokų ciklas, prieinamas visiems rajono mokiniams.</w:t>
      </w:r>
    </w:p>
    <w:p w14:paraId="29DE897F" w14:textId="3F9E2F20" w:rsidR="00900DBF" w:rsidRDefault="0014361C">
      <w:pPr>
        <w:spacing w:line="276" w:lineRule="auto"/>
        <w:ind w:firstLine="737"/>
        <w:jc w:val="both"/>
        <w:rPr>
          <w:szCs w:val="24"/>
        </w:rPr>
      </w:pPr>
      <w:r w:rsidRPr="00D0788B">
        <w:rPr>
          <w:szCs w:val="24"/>
          <w:lang w:eastAsia="lt-LT"/>
        </w:rPr>
        <w:t xml:space="preserve">Įgyvendinant plano tikslą buvo tobulinamos </w:t>
      </w:r>
      <w:r>
        <w:rPr>
          <w:szCs w:val="24"/>
          <w:lang w:eastAsia="lt-LT"/>
        </w:rPr>
        <w:t xml:space="preserve">mokytojų kompetencijos. </w:t>
      </w:r>
      <w:r w:rsidRPr="00D0788B">
        <w:rPr>
          <w:szCs w:val="24"/>
          <w:lang w:eastAsia="lt-LT"/>
        </w:rPr>
        <w:t>Įgyvendintas kvalifikacijos tobulinimo programos „</w:t>
      </w:r>
      <w:r w:rsidRPr="00D0788B">
        <w:rPr>
          <w:bCs/>
          <w:szCs w:val="24"/>
        </w:rPr>
        <w:t xml:space="preserve">Ugdymo(si) motyvacija muzikos / meno mokykloje. Lūkesčiai, galimybės, sėkmės“ modulis </w:t>
      </w:r>
      <w:r w:rsidRPr="00D0788B">
        <w:rPr>
          <w:rFonts w:cstheme="majorBidi"/>
          <w:shd w:val="clear" w:color="auto" w:fill="FFFFFF"/>
        </w:rPr>
        <w:t xml:space="preserve">"Kaip tapti matomiems ir pelnyti puikią </w:t>
      </w:r>
      <w:r>
        <w:rPr>
          <w:rFonts w:cstheme="majorBidi"/>
          <w:color w:val="222222"/>
          <w:shd w:val="clear" w:color="auto" w:fill="FFFFFF"/>
        </w:rPr>
        <w:t xml:space="preserve">reputaciją visuomenėje". </w:t>
      </w:r>
      <w:r>
        <w:rPr>
          <w:szCs w:val="24"/>
          <w:lang w:eastAsia="lt-LT"/>
        </w:rPr>
        <w:t>Išsiaiškintas ir visiems vienodai suprantamas mokyklos įvaizdis, galimybės viešinti mokyklos veiklą, pelnyti aukštesnę reputaciją. Pagal savo poreikius mokytojai dalyvavo 58 seminaruose, 6 konferencijose, tobulino kompetencijas ir praktinius gebėjimus stebėdami ir vesdami atviras pamokas (15), skaitydami pranešimus (11).</w:t>
      </w:r>
    </w:p>
    <w:p w14:paraId="52491596" w14:textId="11A7A9C4" w:rsidR="00FA3ACC" w:rsidRPr="00FB6B79" w:rsidRDefault="00FB6B79" w:rsidP="001815B6">
      <w:pPr>
        <w:tabs>
          <w:tab w:val="left" w:pos="426"/>
          <w:tab w:val="left" w:pos="700"/>
        </w:tabs>
        <w:autoSpaceDN w:val="0"/>
        <w:spacing w:line="276" w:lineRule="auto"/>
        <w:ind w:firstLine="1191"/>
        <w:jc w:val="both"/>
        <w:textAlignment w:val="baseline"/>
      </w:pPr>
      <w:r w:rsidRPr="00FB6B79">
        <w:t>Prienų meno mokyklos „Mokymosi kokybės ir aplinkos užtikrinimo“ programos 2024 m. IV ketv. asignavimų planas 1</w:t>
      </w:r>
      <w:r w:rsidR="00F70FD7" w:rsidRPr="0011665D">
        <w:t>.</w:t>
      </w:r>
      <w:r w:rsidRPr="00FB6B79">
        <w:t>115</w:t>
      </w:r>
      <w:r w:rsidR="00F70FD7" w:rsidRPr="0011665D">
        <w:t>.</w:t>
      </w:r>
      <w:r w:rsidRPr="00FB6B79">
        <w:t>300,00 Eur. Gauta asignavimų 1.115.033,49 Eur.   Panaudota asignavimų 1.115.033,49 Eur</w:t>
      </w:r>
      <w:r w:rsidR="00F70FD7" w:rsidRPr="0011665D">
        <w:t>.</w:t>
      </w:r>
      <w:r w:rsidRPr="00FB6B79">
        <w:t xml:space="preserve"> Mokėtinų ir gautinų sumų įsiskolinimo 202</w:t>
      </w:r>
      <w:r w:rsidR="00F70FD7" w:rsidRPr="0011665D">
        <w:t>4</w:t>
      </w:r>
      <w:r w:rsidRPr="00FB6B79">
        <w:t xml:space="preserve"> m. gruodžio 31 d., kurių mokėjimo terminas pradelstas, nėra. 202</w:t>
      </w:r>
      <w:r w:rsidR="00F70FD7" w:rsidRPr="0011665D">
        <w:t>4</w:t>
      </w:r>
      <w:r w:rsidRPr="00FB6B79">
        <w:t xml:space="preserve"> m. gruodžio 31 d. einamosios banko sąskaitos likutis 0,00 Eur. Biudžetinių pajamų sąskaitos likutis </w:t>
      </w:r>
      <w:r w:rsidR="00F70FD7" w:rsidRPr="0011665D">
        <w:t>4</w:t>
      </w:r>
      <w:r w:rsidRPr="00FB6B79">
        <w:t>.</w:t>
      </w:r>
      <w:r w:rsidR="00F70FD7" w:rsidRPr="0011665D">
        <w:t>500</w:t>
      </w:r>
      <w:r w:rsidRPr="00FB6B79">
        <w:t>,</w:t>
      </w:r>
      <w:r w:rsidR="00F70FD7" w:rsidRPr="0011665D">
        <w:t>40</w:t>
      </w:r>
      <w:r w:rsidRPr="00FB6B79">
        <w:t xml:space="preserve"> Eur. Iš kitų šaltinių 2.</w:t>
      </w:r>
      <w:r w:rsidR="00F70FD7" w:rsidRPr="0011665D">
        <w:t>480</w:t>
      </w:r>
      <w:r w:rsidRPr="00FB6B79">
        <w:t>,</w:t>
      </w:r>
      <w:r w:rsidR="00F70FD7" w:rsidRPr="0011665D">
        <w:t>49</w:t>
      </w:r>
      <w:r w:rsidRPr="00FB6B79">
        <w:t xml:space="preserve"> Eur: iš jų 1,2% paramos lėšos </w:t>
      </w:r>
      <w:r w:rsidR="00F70FD7" w:rsidRPr="0011665D">
        <w:t>2</w:t>
      </w:r>
      <w:r w:rsidRPr="00FB6B79">
        <w:t>.</w:t>
      </w:r>
      <w:r w:rsidR="00F70FD7" w:rsidRPr="0011665D">
        <w:t>289</w:t>
      </w:r>
      <w:r w:rsidRPr="00FB6B79">
        <w:t>,5</w:t>
      </w:r>
      <w:r w:rsidR="00F70FD7" w:rsidRPr="0011665D">
        <w:t>9</w:t>
      </w:r>
      <w:r w:rsidRPr="00FB6B79">
        <w:t xml:space="preserve"> Eur</w:t>
      </w:r>
      <w:r w:rsidR="00F70FD7" w:rsidRPr="0011665D">
        <w:t xml:space="preserve"> ir </w:t>
      </w:r>
      <w:r w:rsidRPr="00FB6B79">
        <w:t xml:space="preserve">konkurso „Nuotaikos“ </w:t>
      </w:r>
      <w:r w:rsidR="00F70FD7" w:rsidRPr="0011665D">
        <w:t>190</w:t>
      </w:r>
      <w:r w:rsidRPr="00FB6B79">
        <w:t>,</w:t>
      </w:r>
      <w:r w:rsidR="00F70FD7" w:rsidRPr="0011665D">
        <w:t>9</w:t>
      </w:r>
      <w:r w:rsidRPr="00FB6B79">
        <w:t>0 Eur</w:t>
      </w:r>
      <w:bookmarkStart w:id="2" w:name="_Hlk188276583"/>
      <w:r w:rsidRPr="00FB6B79">
        <w:t>.</w:t>
      </w:r>
      <w:r w:rsidR="00336664" w:rsidRPr="0011665D">
        <w:t xml:space="preserve"> </w:t>
      </w:r>
      <w:r w:rsidR="00FA3ACC" w:rsidRPr="0011665D">
        <w:t xml:space="preserve">Materialiojo ir nematerialiojo turto </w:t>
      </w:r>
      <w:r w:rsidR="00336664" w:rsidRPr="0011665D">
        <w:t xml:space="preserve"> įsigijimui buvo</w:t>
      </w:r>
      <w:bookmarkEnd w:id="2"/>
      <w:r w:rsidR="00336664" w:rsidRPr="0011665D">
        <w:t xml:space="preserve"> skirta </w:t>
      </w:r>
      <w:bookmarkStart w:id="3" w:name="_Hlk188273131"/>
      <w:r w:rsidR="00FA3ACC" w:rsidRPr="0011665D">
        <w:t>153</w:t>
      </w:r>
      <w:r w:rsidR="00336664" w:rsidRPr="0011665D">
        <w:t>00,00 Eur</w:t>
      </w:r>
      <w:bookmarkEnd w:id="3"/>
      <w:r w:rsidR="00336664" w:rsidRPr="0011665D">
        <w:t xml:space="preserve">, </w:t>
      </w:r>
      <w:r w:rsidR="0011665D" w:rsidRPr="0011665D">
        <w:t>panaudota</w:t>
      </w:r>
      <w:r w:rsidR="00336664" w:rsidRPr="0011665D">
        <w:t xml:space="preserve"> </w:t>
      </w:r>
      <w:r w:rsidR="00FA3ACC" w:rsidRPr="0011665D">
        <w:t>153</w:t>
      </w:r>
      <w:r w:rsidR="00336664" w:rsidRPr="0011665D">
        <w:t>00,00 Eur. Įsigyta ilgalaikio turto: saksofonai 2 vnt. (2200 Eur), interaktyvusis ekranas 1 vnt. (2000 Eur), akordeonai “Skandali“ 5 vnt. ( 5500 Eur), pianinas 1 vnt. (800 Eur), elektrinė gitara su dėklu 1 vnt. (500 Eu</w:t>
      </w:r>
      <w:r w:rsidR="007C77CB" w:rsidRPr="0011665D">
        <w:t>r</w:t>
      </w:r>
      <w:r w:rsidR="00336664" w:rsidRPr="0011665D">
        <w:t xml:space="preserve">), kompiuteriai 2 vnt. (2000 Eur), naujos interneto svetainės sukūrimas – 1750 Eur, dauginimo aparatas </w:t>
      </w:r>
      <w:r w:rsidR="007C77CB" w:rsidRPr="0011665D">
        <w:t>K</w:t>
      </w:r>
      <w:r w:rsidR="00336664" w:rsidRPr="0011665D">
        <w:t xml:space="preserve">onika Minolta Bizhub – 1 vnt. (1420 Eur). </w:t>
      </w:r>
      <w:r w:rsidR="0011665D" w:rsidRPr="0011665D">
        <w:t xml:space="preserve">Prekių ir paslaugų įsigijimui buvo skirta </w:t>
      </w:r>
      <w:bookmarkStart w:id="4" w:name="_Hlk188278689"/>
      <w:r w:rsidR="0011665D" w:rsidRPr="0011665D">
        <w:t>16900,00 Eur</w:t>
      </w:r>
      <w:bookmarkEnd w:id="4"/>
      <w:r w:rsidR="0011665D" w:rsidRPr="0011665D">
        <w:t xml:space="preserve">, panaudota 16900,00 Eur. </w:t>
      </w:r>
      <w:r w:rsidR="007C77CB" w:rsidRPr="0011665D">
        <w:t xml:space="preserve">Įsigyta trumpalaikio turto; stendas sienelė su mokyklos logotipu 1 vnt. (200 </w:t>
      </w:r>
      <w:r w:rsidR="0011665D" w:rsidRPr="0011665D">
        <w:t>E</w:t>
      </w:r>
      <w:r w:rsidR="007C77CB" w:rsidRPr="0011665D">
        <w:t>ur), suoliukai prie pianino 8 vnt. (1136 Eur), stilizuoti tautiniai rūbai 25 kompl. (2300 Eur), skaneris Epson Work Forse 1 vnt. (250 Eur), lietaus varpeliai 1 kompl. (100 Eur) ir kitos  ugdomajai veiklai skirto</w:t>
      </w:r>
      <w:r w:rsidR="0011665D" w:rsidRPr="0011665D">
        <w:t>s</w:t>
      </w:r>
      <w:r w:rsidR="007C77CB" w:rsidRPr="0011665D">
        <w:t xml:space="preserve"> priemonės. Mokytojų kvalifikacijai </w:t>
      </w:r>
      <w:r w:rsidR="00FA3ACC" w:rsidRPr="0011665D">
        <w:t>tobulinti 2024 m. buvo skirta 2000 Eur, panaudota – 2000 Eur.</w:t>
      </w:r>
    </w:p>
    <w:p w14:paraId="594D8FAC" w14:textId="77777777" w:rsidR="00900DBF" w:rsidRDefault="00900DBF">
      <w:pPr>
        <w:spacing w:line="276" w:lineRule="auto"/>
        <w:ind w:firstLine="737"/>
        <w:jc w:val="both"/>
        <w:rPr>
          <w:szCs w:val="24"/>
        </w:rPr>
      </w:pPr>
    </w:p>
    <w:p w14:paraId="0F8D9EB7" w14:textId="50ACD657" w:rsidR="00900DBF" w:rsidRDefault="0014361C">
      <w:pPr>
        <w:spacing w:line="276" w:lineRule="auto"/>
        <w:ind w:firstLine="737"/>
        <w:jc w:val="center"/>
        <w:rPr>
          <w:szCs w:val="24"/>
          <w:lang w:eastAsia="lt-LT"/>
        </w:rPr>
      </w:pPr>
      <w:r>
        <w:rPr>
          <w:szCs w:val="24"/>
          <w:lang w:eastAsia="lt-LT"/>
        </w:rPr>
        <w:t>________________________</w:t>
      </w:r>
    </w:p>
    <w:p w14:paraId="1A785210" w14:textId="77777777" w:rsidR="00AC1F0D" w:rsidRDefault="00AC1F0D">
      <w:pPr>
        <w:spacing w:line="276" w:lineRule="auto"/>
        <w:ind w:firstLine="737"/>
        <w:jc w:val="center"/>
        <w:rPr>
          <w:szCs w:val="24"/>
        </w:rPr>
      </w:pPr>
    </w:p>
    <w:sectPr w:rsidR="00AC1F0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CF2EA" w14:textId="77777777" w:rsidR="00AB5418" w:rsidRDefault="00AB5418" w:rsidP="001815B6">
      <w:r>
        <w:separator/>
      </w:r>
    </w:p>
  </w:endnote>
  <w:endnote w:type="continuationSeparator" w:id="0">
    <w:p w14:paraId="619FD0AC" w14:textId="77777777" w:rsidR="00AB5418" w:rsidRDefault="00AB5418" w:rsidP="0018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6066A" w14:textId="77777777" w:rsidR="00AB5418" w:rsidRDefault="00AB5418" w:rsidP="001815B6">
      <w:r>
        <w:separator/>
      </w:r>
    </w:p>
  </w:footnote>
  <w:footnote w:type="continuationSeparator" w:id="0">
    <w:p w14:paraId="2732186B" w14:textId="77777777" w:rsidR="00AB5418" w:rsidRDefault="00AB5418" w:rsidP="00181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BF"/>
    <w:rsid w:val="000F5C60"/>
    <w:rsid w:val="0011665D"/>
    <w:rsid w:val="0014361C"/>
    <w:rsid w:val="001815B6"/>
    <w:rsid w:val="002648C6"/>
    <w:rsid w:val="00336664"/>
    <w:rsid w:val="00342617"/>
    <w:rsid w:val="00525659"/>
    <w:rsid w:val="006F61DF"/>
    <w:rsid w:val="007C77CB"/>
    <w:rsid w:val="008D68A6"/>
    <w:rsid w:val="00900DBF"/>
    <w:rsid w:val="00A22912"/>
    <w:rsid w:val="00AB2A64"/>
    <w:rsid w:val="00AB5418"/>
    <w:rsid w:val="00AC1F0D"/>
    <w:rsid w:val="00BA0124"/>
    <w:rsid w:val="00BA6789"/>
    <w:rsid w:val="00BD7923"/>
    <w:rsid w:val="00D0788B"/>
    <w:rsid w:val="00EA2B2C"/>
    <w:rsid w:val="00F70FD7"/>
    <w:rsid w:val="00FA3ACC"/>
    <w:rsid w:val="00FB6B79"/>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2CF8"/>
  <w15:docId w15:val="{DDD86D9E-E7C3-4D58-9490-CB2291F0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4848"/>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41299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41299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41299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41299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41299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41299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41299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41299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41299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129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4129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4129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4129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4129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4129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4129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4129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412990"/>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412990"/>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412990"/>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412990"/>
    <w:rPr>
      <w:i/>
      <w:iCs/>
      <w:color w:val="404040" w:themeColor="text1" w:themeTint="BF"/>
    </w:rPr>
  </w:style>
  <w:style w:type="character" w:styleId="Rykuspabraukimas">
    <w:name w:val="Intense Emphasis"/>
    <w:basedOn w:val="Numatytasispastraiposriftas"/>
    <w:uiPriority w:val="21"/>
    <w:qFormat/>
    <w:rsid w:val="00412990"/>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412990"/>
    <w:rPr>
      <w:i/>
      <w:iCs/>
      <w:color w:val="2F5496" w:themeColor="accent1" w:themeShade="BF"/>
    </w:rPr>
  </w:style>
  <w:style w:type="character" w:styleId="Rykinuoroda">
    <w:name w:val="Intense Reference"/>
    <w:basedOn w:val="Numatytasispastraiposriftas"/>
    <w:uiPriority w:val="32"/>
    <w:qFormat/>
    <w:rsid w:val="00412990"/>
    <w:rPr>
      <w:b/>
      <w:bCs/>
      <w:smallCaps/>
      <w:color w:val="2F5496" w:themeColor="accent1" w:themeShade="BF"/>
      <w:spacing w:val="5"/>
    </w:rPr>
  </w:style>
  <w:style w:type="character" w:customStyle="1" w:styleId="Internetosaitas">
    <w:name w:val="Interneto saitas"/>
    <w:basedOn w:val="Numatytasispastraiposriftas"/>
    <w:uiPriority w:val="99"/>
    <w:unhideWhenUsed/>
    <w:rsid w:val="00464848"/>
    <w:rPr>
      <w:color w:val="0000FF"/>
      <w:u w:val="single"/>
    </w:rPr>
  </w:style>
  <w:style w:type="character" w:customStyle="1" w:styleId="translation">
    <w:name w:val="translation"/>
    <w:qFormat/>
    <w:rsid w:val="00464848"/>
  </w:style>
  <w:style w:type="character" w:customStyle="1" w:styleId="FontStyle13">
    <w:name w:val="Font Style13"/>
    <w:basedOn w:val="Numatytasispastraiposriftas"/>
    <w:qFormat/>
    <w:rsid w:val="00464848"/>
    <w:rPr>
      <w:rFonts w:ascii="Times New Roman" w:hAnsi="Times New Roman" w:cs="Times New Roman"/>
      <w:sz w:val="22"/>
      <w:szCs w:val="22"/>
    </w:rPr>
  </w:style>
  <w:style w:type="character" w:customStyle="1" w:styleId="UnresolvedMention">
    <w:name w:val="Unresolved Mention"/>
    <w:basedOn w:val="Numatytasispastraiposriftas"/>
    <w:uiPriority w:val="99"/>
    <w:semiHidden/>
    <w:unhideWhenUsed/>
    <w:qFormat/>
    <w:rsid w:val="00CA6436"/>
    <w:rPr>
      <w:color w:val="605E5C"/>
      <w:shd w:val="clear" w:color="auto" w:fill="E1DFDD"/>
    </w:rPr>
  </w:style>
  <w:style w:type="character" w:customStyle="1" w:styleId="Numatytasispastraiposriftas1">
    <w:name w:val="Numatytasis pastraipos šriftas1"/>
    <w:qFormat/>
    <w:rsid w:val="0006215A"/>
  </w:style>
  <w:style w:type="paragraph" w:customStyle="1" w:styleId="Antrat10">
    <w:name w:val="Antraštė1"/>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Cs w:val="24"/>
    </w:rPr>
  </w:style>
  <w:style w:type="paragraph" w:customStyle="1" w:styleId="Rodykl">
    <w:name w:val="Rodyklė"/>
    <w:basedOn w:val="prastasis"/>
    <w:qFormat/>
    <w:pPr>
      <w:suppressLineNumbers/>
    </w:pPr>
    <w:rPr>
      <w:rFonts w:cs="Mangal"/>
    </w:rPr>
  </w:style>
  <w:style w:type="paragraph" w:styleId="Pavadinimas">
    <w:name w:val="Title"/>
    <w:basedOn w:val="prastasis"/>
    <w:next w:val="prastasis"/>
    <w:link w:val="PavadinimasDiagrama"/>
    <w:uiPriority w:val="10"/>
    <w:qFormat/>
    <w:rsid w:val="00412990"/>
    <w:pPr>
      <w:spacing w:after="80"/>
      <w:contextualSpacing/>
    </w:pPr>
    <w:rPr>
      <w:rFonts w:asciiTheme="majorHAnsi" w:eastAsiaTheme="majorEastAsia" w:hAnsiTheme="majorHAnsi" w:cstheme="majorBidi"/>
      <w:spacing w:val="-10"/>
      <w:kern w:val="2"/>
      <w:sz w:val="56"/>
      <w:szCs w:val="56"/>
      <w:lang w:val="en-US"/>
      <w14:ligatures w14:val="standardContextual"/>
    </w:rPr>
  </w:style>
  <w:style w:type="paragraph" w:styleId="Paantrat">
    <w:name w:val="Subtitle"/>
    <w:basedOn w:val="prastasis"/>
    <w:next w:val="prastasis"/>
    <w:link w:val="PaantratDiagrama"/>
    <w:uiPriority w:val="11"/>
    <w:qFormat/>
    <w:rsid w:val="00412990"/>
    <w:p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Citata">
    <w:name w:val="Quote"/>
    <w:basedOn w:val="prastasis"/>
    <w:next w:val="prastasis"/>
    <w:link w:val="CitataDiagrama"/>
    <w:uiPriority w:val="29"/>
    <w:qFormat/>
    <w:rsid w:val="0041299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paragraph" w:styleId="Sraopastraipa">
    <w:name w:val="List Paragraph"/>
    <w:basedOn w:val="prastasis"/>
    <w:uiPriority w:val="34"/>
    <w:qFormat/>
    <w:rsid w:val="00412990"/>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paragraph" w:styleId="Iskirtacitata">
    <w:name w:val="Intense Quote"/>
    <w:basedOn w:val="prastasis"/>
    <w:next w:val="prastasis"/>
    <w:link w:val="IskirtacitataDiagrama"/>
    <w:uiPriority w:val="30"/>
    <w:qFormat/>
    <w:rsid w:val="00412990"/>
    <w:pPr>
      <w:pBdr>
        <w:top w:val="single" w:sz="4" w:space="10" w:color="2F5496"/>
        <w:bottom w:val="single" w:sz="4" w:space="10" w:color="2F5496"/>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paragraph" w:styleId="Betarp">
    <w:name w:val="No Spacing"/>
    <w:basedOn w:val="prastasis"/>
    <w:uiPriority w:val="1"/>
    <w:qFormat/>
    <w:rsid w:val="00464848"/>
    <w:pPr>
      <w:spacing w:after="200"/>
    </w:pPr>
    <w:rPr>
      <w:rFonts w:eastAsiaTheme="minorHAnsi" w:cstheme="minorBidi"/>
      <w:szCs w:val="24"/>
    </w:rPr>
  </w:style>
  <w:style w:type="paragraph" w:customStyle="1" w:styleId="Standard">
    <w:name w:val="Standard"/>
    <w:qFormat/>
    <w:rsid w:val="0006215A"/>
    <w:pPr>
      <w:textAlignment w:val="baseline"/>
    </w:pPr>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39"/>
    <w:rsid w:val="00464848"/>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815B6"/>
    <w:pPr>
      <w:tabs>
        <w:tab w:val="center" w:pos="4680"/>
        <w:tab w:val="right" w:pos="9360"/>
      </w:tabs>
    </w:pPr>
  </w:style>
  <w:style w:type="character" w:customStyle="1" w:styleId="AntratsDiagrama">
    <w:name w:val="Antraštės Diagrama"/>
    <w:basedOn w:val="Numatytasispastraiposriftas"/>
    <w:link w:val="Antrats"/>
    <w:uiPriority w:val="99"/>
    <w:rsid w:val="001815B6"/>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1815B6"/>
    <w:pPr>
      <w:tabs>
        <w:tab w:val="center" w:pos="4680"/>
        <w:tab w:val="right" w:pos="9360"/>
      </w:tabs>
    </w:pPr>
  </w:style>
  <w:style w:type="character" w:customStyle="1" w:styleId="PoratDiagrama">
    <w:name w:val="Poraštė Diagrama"/>
    <w:basedOn w:val="Numatytasispastraiposriftas"/>
    <w:link w:val="Porat"/>
    <w:uiPriority w:val="99"/>
    <w:rsid w:val="001815B6"/>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ienumm.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tine@menas.prienai.lm.lt" TargetMode="External"/><Relationship Id="rId11" Type="http://schemas.openxmlformats.org/officeDocument/2006/relationships/chart" Target="charts/chart3.xml"/><Relationship Id="rId5" Type="http://schemas.openxmlformats.org/officeDocument/2006/relationships/endnotes" Target="endnotes.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hyperlink" Target="https://prienumm.l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t-LT"/>
  <c:roundedCorners val="0"/>
  <c:style val="2"/>
  <c:chart>
    <c:title>
      <c:tx>
        <c:rich>
          <a:bodyPr rot="0"/>
          <a:lstStyle/>
          <a:p>
            <a:pPr>
              <a:defRPr lang="lt-LT" sz="1200" b="1" strike="noStrike" spc="-1">
                <a:solidFill>
                  <a:srgbClr val="595959"/>
                </a:solidFill>
                <a:latin typeface="Times New Roman"/>
              </a:defRPr>
            </a:pPr>
            <a:r>
              <a:rPr lang="lt-LT" sz="1200" b="1" strike="noStrike" spc="-1">
                <a:solidFill>
                  <a:srgbClr val="595959"/>
                </a:solidFill>
                <a:latin typeface="Times New Roman"/>
              </a:rPr>
              <a:t>Mokinių skaičiaus pokyčiai</a:t>
            </a:r>
          </a:p>
        </c:rich>
      </c:tx>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Mokinių skaičius</c:v>
                </c:pt>
              </c:strCache>
            </c:strRef>
          </c:tx>
          <c:spPr>
            <a:solidFill>
              <a:srgbClr val="4472C4"/>
            </a:solidFill>
            <a:ln w="0">
              <a:noFill/>
            </a:ln>
          </c:spPr>
          <c:invertIfNegative val="0"/>
          <c:dLbls>
            <c:numFmt formatCode="General" sourceLinked="0"/>
            <c:spPr>
              <a:noFill/>
              <a:ln>
                <a:noFill/>
              </a:ln>
              <a:effectLst/>
            </c:spPr>
            <c:txPr>
              <a:bodyPr wrap="square"/>
              <a:lstStyle/>
              <a:p>
                <a:pPr>
                  <a:defRPr sz="1000" b="0" strike="noStrike" spc="-1">
                    <a:solidFill>
                      <a:srgbClr val="000000"/>
                    </a:solidFill>
                    <a:latin typeface="Calibri"/>
                  </a:defRPr>
                </a:pPr>
                <a:endParaRPr lang="lt-LT"/>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2022–2023</c:v>
                </c:pt>
                <c:pt idx="1">
                  <c:v>2023–2024</c:v>
                </c:pt>
                <c:pt idx="2">
                  <c:v>2024–2025</c:v>
                </c:pt>
              </c:strCache>
            </c:strRef>
          </c:cat>
          <c:val>
            <c:numRef>
              <c:f>0</c:f>
              <c:numCache>
                <c:formatCode>General</c:formatCode>
                <c:ptCount val="3"/>
                <c:pt idx="0">
                  <c:v>430</c:v>
                </c:pt>
                <c:pt idx="1">
                  <c:v>434</c:v>
                </c:pt>
                <c:pt idx="2">
                  <c:v>438</c:v>
                </c:pt>
              </c:numCache>
            </c:numRef>
          </c:val>
          <c:extLst>
            <c:ext xmlns:c16="http://schemas.microsoft.com/office/drawing/2014/chart" uri="{C3380CC4-5D6E-409C-BE32-E72D297353CC}">
              <c16:uniqueId val="{00000000-42C2-4806-A8C7-8595A77A19A8}"/>
            </c:ext>
          </c:extLst>
        </c:ser>
        <c:dLbls>
          <c:showLegendKey val="0"/>
          <c:showVal val="0"/>
          <c:showCatName val="0"/>
          <c:showSerName val="0"/>
          <c:showPercent val="0"/>
          <c:showBubbleSize val="0"/>
        </c:dLbls>
        <c:gapWidth val="150"/>
        <c:shape val="box"/>
        <c:axId val="31588427"/>
        <c:axId val="420192"/>
        <c:axId val="0"/>
      </c:bar3DChart>
      <c:catAx>
        <c:axId val="31588427"/>
        <c:scaling>
          <c:orientation val="minMax"/>
        </c:scaling>
        <c:delete val="0"/>
        <c:axPos val="b"/>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lt-LT"/>
          </a:p>
        </c:txPr>
        <c:crossAx val="420192"/>
        <c:crosses val="autoZero"/>
        <c:auto val="1"/>
        <c:lblAlgn val="ctr"/>
        <c:lblOffset val="100"/>
        <c:noMultiLvlLbl val="0"/>
      </c:catAx>
      <c:valAx>
        <c:axId val="42019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lt-LT"/>
          </a:p>
        </c:txPr>
        <c:crossAx val="31588427"/>
        <c:crosses val="autoZero"/>
        <c:crossBetween val="between"/>
      </c:valAx>
      <c:dTable>
        <c:showHorzBorder val="1"/>
        <c:showVertBorder val="1"/>
        <c:showOutline val="1"/>
        <c:showKeys val="1"/>
      </c:dTable>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t-LT"/>
  <c:roundedCorners val="0"/>
  <c:style val="2"/>
  <c:chart>
    <c:title>
      <c:tx>
        <c:rich>
          <a:bodyPr rot="0"/>
          <a:lstStyle/>
          <a:p>
            <a:pPr>
              <a:defRPr/>
            </a:pPr>
            <a:r>
              <a:rPr lang="lt-LT"/>
              <a:t>Mokinių meninė ir koncertinė veikla</a:t>
            </a:r>
          </a:p>
        </c:rich>
      </c:tx>
      <c:overlay val="0"/>
      <c:spPr>
        <a:noFill/>
        <a:ln w="0">
          <a:noFill/>
        </a:ln>
      </c:spPr>
    </c:title>
    <c:autoTitleDeleted val="0"/>
    <c:plotArea>
      <c:layout/>
      <c:barChart>
        <c:barDir val="bar"/>
        <c:grouping val="clustered"/>
        <c:varyColors val="0"/>
        <c:ser>
          <c:idx val="0"/>
          <c:order val="0"/>
          <c:tx>
            <c:strRef>
              <c:f>label 0</c:f>
              <c:strCache>
                <c:ptCount val="1"/>
                <c:pt idx="0">
                  <c:v>2024</c:v>
                </c:pt>
              </c:strCache>
            </c:strRef>
          </c:tx>
          <c:spPr>
            <a:solidFill>
              <a:srgbClr val="4472C4"/>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Tarptautiniai konkursai</c:v>
                </c:pt>
                <c:pt idx="1">
                  <c:v>Respublikiniai konkursai</c:v>
                </c:pt>
                <c:pt idx="2">
                  <c:v>Festivaliai, projektai</c:v>
                </c:pt>
                <c:pt idx="3">
                  <c:v>Koncertai, parodos</c:v>
                </c:pt>
              </c:strCache>
            </c:strRef>
          </c:cat>
          <c:val>
            <c:numRef>
              <c:f>0</c:f>
              <c:numCache>
                <c:formatCode>General</c:formatCode>
                <c:ptCount val="4"/>
                <c:pt idx="0">
                  <c:v>25</c:v>
                </c:pt>
                <c:pt idx="1">
                  <c:v>32</c:v>
                </c:pt>
                <c:pt idx="2">
                  <c:v>43</c:v>
                </c:pt>
                <c:pt idx="3">
                  <c:v>67</c:v>
                </c:pt>
              </c:numCache>
            </c:numRef>
          </c:val>
          <c:extLst>
            <c:ext xmlns:c16="http://schemas.microsoft.com/office/drawing/2014/chart" uri="{C3380CC4-5D6E-409C-BE32-E72D297353CC}">
              <c16:uniqueId val="{00000000-49EB-4039-A38D-0AB8F9D02CAC}"/>
            </c:ext>
          </c:extLst>
        </c:ser>
        <c:ser>
          <c:idx val="1"/>
          <c:order val="1"/>
          <c:tx>
            <c:strRef>
              <c:f>label 1</c:f>
              <c:strCache>
                <c:ptCount val="1"/>
                <c:pt idx="0">
                  <c:v>2023</c:v>
                </c:pt>
              </c:strCache>
            </c:strRef>
          </c:tx>
          <c:spPr>
            <a:solidFill>
              <a:srgbClr val="ED7D31"/>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Tarptautiniai konkursai</c:v>
                </c:pt>
                <c:pt idx="1">
                  <c:v>Respublikiniai konkursai</c:v>
                </c:pt>
                <c:pt idx="2">
                  <c:v>Festivaliai, projektai</c:v>
                </c:pt>
                <c:pt idx="3">
                  <c:v>Koncertai, parodos</c:v>
                </c:pt>
              </c:strCache>
            </c:strRef>
          </c:cat>
          <c:val>
            <c:numRef>
              <c:f>1</c:f>
              <c:numCache>
                <c:formatCode>General</c:formatCode>
                <c:ptCount val="4"/>
                <c:pt idx="0">
                  <c:v>11</c:v>
                </c:pt>
                <c:pt idx="1">
                  <c:v>21</c:v>
                </c:pt>
                <c:pt idx="2">
                  <c:v>24</c:v>
                </c:pt>
                <c:pt idx="3">
                  <c:v>32</c:v>
                </c:pt>
              </c:numCache>
            </c:numRef>
          </c:val>
          <c:extLst>
            <c:ext xmlns:c16="http://schemas.microsoft.com/office/drawing/2014/chart" uri="{C3380CC4-5D6E-409C-BE32-E72D297353CC}">
              <c16:uniqueId val="{00000001-49EB-4039-A38D-0AB8F9D02CAC}"/>
            </c:ext>
          </c:extLst>
        </c:ser>
        <c:ser>
          <c:idx val="2"/>
          <c:order val="2"/>
          <c:tx>
            <c:strRef>
              <c:f>label 2</c:f>
              <c:strCache>
                <c:ptCount val="1"/>
                <c:pt idx="0">
                  <c:v>2022 m.</c:v>
                </c:pt>
              </c:strCache>
            </c:strRef>
          </c:tx>
          <c:spPr>
            <a:solidFill>
              <a:srgbClr val="A5A5A5"/>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Tarptautiniai konkursai</c:v>
                </c:pt>
                <c:pt idx="1">
                  <c:v>Respublikiniai konkursai</c:v>
                </c:pt>
                <c:pt idx="2">
                  <c:v>Festivaliai, projektai</c:v>
                </c:pt>
                <c:pt idx="3">
                  <c:v>Koncertai, parodos</c:v>
                </c:pt>
              </c:strCache>
            </c:strRef>
          </c:cat>
          <c:val>
            <c:numRef>
              <c:f>2</c:f>
              <c:numCache>
                <c:formatCode>General</c:formatCode>
                <c:ptCount val="4"/>
                <c:pt idx="0">
                  <c:v>23</c:v>
                </c:pt>
                <c:pt idx="1">
                  <c:v>26</c:v>
                </c:pt>
                <c:pt idx="2">
                  <c:v>14</c:v>
                </c:pt>
                <c:pt idx="3">
                  <c:v>36</c:v>
                </c:pt>
              </c:numCache>
            </c:numRef>
          </c:val>
          <c:extLst>
            <c:ext xmlns:c16="http://schemas.microsoft.com/office/drawing/2014/chart" uri="{C3380CC4-5D6E-409C-BE32-E72D297353CC}">
              <c16:uniqueId val="{00000002-49EB-4039-A38D-0AB8F9D02CAC}"/>
            </c:ext>
          </c:extLst>
        </c:ser>
        <c:dLbls>
          <c:showLegendKey val="0"/>
          <c:showVal val="0"/>
          <c:showCatName val="0"/>
          <c:showSerName val="0"/>
          <c:showPercent val="0"/>
          <c:showBubbleSize val="0"/>
        </c:dLbls>
        <c:gapWidth val="182"/>
        <c:axId val="52059267"/>
        <c:axId val="84660274"/>
      </c:barChart>
      <c:catAx>
        <c:axId val="52059267"/>
        <c:scaling>
          <c:orientation val="minMax"/>
        </c:scaling>
        <c:delete val="0"/>
        <c:axPos val="l"/>
        <c:numFmt formatCode="General" sourceLinked="0"/>
        <c:majorTickMark val="none"/>
        <c:minorTickMark val="none"/>
        <c:tickLblPos val="nextTo"/>
        <c:spPr>
          <a:ln w="9360">
            <a:solidFill>
              <a:srgbClr val="D9D9D9"/>
            </a:solidFill>
            <a:round/>
          </a:ln>
        </c:spPr>
        <c:crossAx val="84660274"/>
        <c:crosses val="autoZero"/>
        <c:auto val="1"/>
        <c:lblAlgn val="ctr"/>
        <c:lblOffset val="100"/>
        <c:noMultiLvlLbl val="0"/>
      </c:catAx>
      <c:valAx>
        <c:axId val="84660274"/>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crossAx val="52059267"/>
        <c:crosses val="autoZero"/>
        <c:crossBetween val="between"/>
      </c:valAx>
      <c:dTable>
        <c:showHorzBorder val="1"/>
        <c:showVertBorder val="1"/>
        <c:showOutline val="1"/>
        <c:showKeys val="1"/>
      </c:dTable>
      <c:spPr>
        <a:noFill/>
        <a:ln w="0">
          <a:noFill/>
        </a:ln>
      </c:spPr>
    </c:plotArea>
    <c:legend>
      <c:legendPos val="b"/>
      <c:overlay val="0"/>
      <c:spPr>
        <a:noFill/>
        <a:ln w="0">
          <a:noFill/>
        </a:ln>
      </c:spPr>
    </c:legend>
    <c:plotVisOnly val="1"/>
    <c:dispBlanksAs val="gap"/>
    <c:showDLblsOverMax val="1"/>
  </c:chart>
  <c:spPr>
    <a:solidFill>
      <a:srgbClr val="FFFFFF"/>
    </a:solidFill>
    <a:ln w="9360">
      <a:solidFill>
        <a:srgbClr val="D9D9D9"/>
      </a:solidFill>
      <a:round/>
    </a:ln>
  </c:spPr>
  <c:txPr>
    <a:bodyPr/>
    <a:lstStyle/>
    <a:p>
      <a:pPr>
        <a:defRPr sz="800"/>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lt-LT"/>
  <c:roundedCorners val="0"/>
  <c:style val="2"/>
  <c:chart>
    <c:title>
      <c:tx>
        <c:rich>
          <a:bodyPr rot="0"/>
          <a:lstStyle/>
          <a:p>
            <a:pPr>
              <a:defRPr lang="lt-LT" sz="1200" b="1" strike="noStrike" spc="-1">
                <a:solidFill>
                  <a:srgbClr val="000000"/>
                </a:solidFill>
                <a:latin typeface="Times New Roman"/>
              </a:defRPr>
            </a:pPr>
            <a:r>
              <a:rPr lang="lt-LT" sz="1200" b="1" strike="noStrike" spc="-1">
                <a:solidFill>
                  <a:srgbClr val="000000"/>
                </a:solidFill>
                <a:latin typeface="Times New Roman"/>
              </a:rPr>
              <a:t>Tarptautinių ir respublikinių konkursų laureatai ir diplomantai</a:t>
            </a:r>
          </a:p>
        </c:rich>
      </c:tx>
      <c:overlay val="0"/>
      <c:spPr>
        <a:noFill/>
        <a:ln w="0">
          <a:noFill/>
        </a:ln>
      </c:spPr>
    </c:title>
    <c:autoTitleDeleted val="0"/>
    <c:plotArea>
      <c:layout/>
      <c:barChart>
        <c:barDir val="bar"/>
        <c:grouping val="clustered"/>
        <c:varyColors val="0"/>
        <c:ser>
          <c:idx val="0"/>
          <c:order val="0"/>
          <c:tx>
            <c:strRef>
              <c:f>label 0</c:f>
              <c:strCache>
                <c:ptCount val="1"/>
                <c:pt idx="0">
                  <c:v>2022</c:v>
                </c:pt>
              </c:strCache>
            </c:strRef>
          </c:tx>
          <c:spPr>
            <a:solidFill>
              <a:srgbClr val="4472C4"/>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lt-LT"/>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Diplomantai</c:v>
                </c:pt>
                <c:pt idx="1">
                  <c:v>3 vieta</c:v>
                </c:pt>
                <c:pt idx="2">
                  <c:v>2 vieta</c:v>
                </c:pt>
                <c:pt idx="3">
                  <c:v>1 vieta</c:v>
                </c:pt>
              </c:strCache>
            </c:strRef>
          </c:cat>
          <c:val>
            <c:numRef>
              <c:f>0</c:f>
              <c:numCache>
                <c:formatCode>General</c:formatCode>
                <c:ptCount val="4"/>
                <c:pt idx="0">
                  <c:v>21</c:v>
                </c:pt>
                <c:pt idx="1">
                  <c:v>31</c:v>
                </c:pt>
                <c:pt idx="2">
                  <c:v>40</c:v>
                </c:pt>
                <c:pt idx="3">
                  <c:v>17</c:v>
                </c:pt>
              </c:numCache>
            </c:numRef>
          </c:val>
          <c:extLst>
            <c:ext xmlns:c16="http://schemas.microsoft.com/office/drawing/2014/chart" uri="{C3380CC4-5D6E-409C-BE32-E72D297353CC}">
              <c16:uniqueId val="{00000000-FD51-48AA-B789-1906A1B2A73E}"/>
            </c:ext>
          </c:extLst>
        </c:ser>
        <c:ser>
          <c:idx val="1"/>
          <c:order val="1"/>
          <c:tx>
            <c:strRef>
              <c:f>label 1</c:f>
              <c:strCache>
                <c:ptCount val="1"/>
                <c:pt idx="0">
                  <c:v>2023</c:v>
                </c:pt>
              </c:strCache>
            </c:strRef>
          </c:tx>
          <c:spPr>
            <a:solidFill>
              <a:srgbClr val="ED7D31"/>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lt-LT"/>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Diplomantai</c:v>
                </c:pt>
                <c:pt idx="1">
                  <c:v>3 vieta</c:v>
                </c:pt>
                <c:pt idx="2">
                  <c:v>2 vieta</c:v>
                </c:pt>
                <c:pt idx="3">
                  <c:v>1 vieta</c:v>
                </c:pt>
              </c:strCache>
            </c:strRef>
          </c:cat>
          <c:val>
            <c:numRef>
              <c:f>1</c:f>
              <c:numCache>
                <c:formatCode>General</c:formatCode>
                <c:ptCount val="4"/>
                <c:pt idx="0">
                  <c:v>17</c:v>
                </c:pt>
                <c:pt idx="1">
                  <c:v>15</c:v>
                </c:pt>
                <c:pt idx="2">
                  <c:v>36</c:v>
                </c:pt>
                <c:pt idx="3">
                  <c:v>39</c:v>
                </c:pt>
              </c:numCache>
            </c:numRef>
          </c:val>
          <c:extLst>
            <c:ext xmlns:c16="http://schemas.microsoft.com/office/drawing/2014/chart" uri="{C3380CC4-5D6E-409C-BE32-E72D297353CC}">
              <c16:uniqueId val="{00000001-FD51-48AA-B789-1906A1B2A73E}"/>
            </c:ext>
          </c:extLst>
        </c:ser>
        <c:ser>
          <c:idx val="2"/>
          <c:order val="2"/>
          <c:tx>
            <c:strRef>
              <c:f>label 2</c:f>
              <c:strCache>
                <c:ptCount val="1"/>
                <c:pt idx="0">
                  <c:v>2024</c:v>
                </c:pt>
              </c:strCache>
            </c:strRef>
          </c:tx>
          <c:spPr>
            <a:solidFill>
              <a:srgbClr val="A5A5A5"/>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lt-LT"/>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Diplomantai</c:v>
                </c:pt>
                <c:pt idx="1">
                  <c:v>3 vieta</c:v>
                </c:pt>
                <c:pt idx="2">
                  <c:v>2 vieta</c:v>
                </c:pt>
                <c:pt idx="3">
                  <c:v>1 vieta</c:v>
                </c:pt>
              </c:strCache>
            </c:strRef>
          </c:cat>
          <c:val>
            <c:numRef>
              <c:f>2</c:f>
              <c:numCache>
                <c:formatCode>General</c:formatCode>
                <c:ptCount val="4"/>
                <c:pt idx="0">
                  <c:v>11</c:v>
                </c:pt>
                <c:pt idx="1">
                  <c:v>20</c:v>
                </c:pt>
                <c:pt idx="2">
                  <c:v>43</c:v>
                </c:pt>
                <c:pt idx="3">
                  <c:v>28</c:v>
                </c:pt>
              </c:numCache>
            </c:numRef>
          </c:val>
          <c:extLst>
            <c:ext xmlns:c16="http://schemas.microsoft.com/office/drawing/2014/chart" uri="{C3380CC4-5D6E-409C-BE32-E72D297353CC}">
              <c16:uniqueId val="{00000002-FD51-48AA-B789-1906A1B2A73E}"/>
            </c:ext>
          </c:extLst>
        </c:ser>
        <c:dLbls>
          <c:showLegendKey val="0"/>
          <c:showVal val="0"/>
          <c:showCatName val="0"/>
          <c:showSerName val="0"/>
          <c:showPercent val="0"/>
          <c:showBubbleSize val="0"/>
        </c:dLbls>
        <c:gapWidth val="150"/>
        <c:axId val="8306629"/>
        <c:axId val="60449325"/>
      </c:barChart>
      <c:catAx>
        <c:axId val="8306629"/>
        <c:scaling>
          <c:orientation val="minMax"/>
        </c:scaling>
        <c:delete val="0"/>
        <c:axPos val="l"/>
        <c:numFmt formatCode="General" sourceLinked="0"/>
        <c:majorTickMark val="none"/>
        <c:minorTickMark val="none"/>
        <c:tickLblPos val="nextTo"/>
        <c:spPr>
          <a:ln w="6480">
            <a:solidFill>
              <a:srgbClr val="8B8B8B"/>
            </a:solidFill>
            <a:round/>
          </a:ln>
        </c:spPr>
        <c:txPr>
          <a:bodyPr/>
          <a:lstStyle/>
          <a:p>
            <a:pPr>
              <a:defRPr lang="lt-LT" sz="1000" b="0" strike="noStrike" spc="-1">
                <a:solidFill>
                  <a:srgbClr val="000000"/>
                </a:solidFill>
                <a:latin typeface="Calibri"/>
              </a:defRPr>
            </a:pPr>
            <a:endParaRPr lang="lt-LT"/>
          </a:p>
        </c:txPr>
        <c:crossAx val="60449325"/>
        <c:crosses val="autoZero"/>
        <c:auto val="1"/>
        <c:lblAlgn val="ctr"/>
        <c:lblOffset val="100"/>
        <c:noMultiLvlLbl val="0"/>
      </c:catAx>
      <c:valAx>
        <c:axId val="60449325"/>
        <c:scaling>
          <c:orientation val="minMax"/>
        </c:scaling>
        <c:delete val="0"/>
        <c:axPos val="b"/>
        <c:majorGridlines>
          <c:spPr>
            <a:ln w="6480">
              <a:solidFill>
                <a:srgbClr val="8B8B8B"/>
              </a:solidFill>
              <a:round/>
            </a:ln>
          </c:spPr>
        </c:majorGridlines>
        <c:numFmt formatCode="General" sourceLinked="0"/>
        <c:majorTickMark val="none"/>
        <c:minorTickMark val="none"/>
        <c:tickLblPos val="nextTo"/>
        <c:spPr>
          <a:ln w="6480">
            <a:solidFill>
              <a:srgbClr val="8B8B8B"/>
            </a:solidFill>
            <a:round/>
          </a:ln>
        </c:spPr>
        <c:txPr>
          <a:bodyPr/>
          <a:lstStyle/>
          <a:p>
            <a:pPr>
              <a:defRPr lang="lt-LT" sz="1000" b="0" strike="noStrike" spc="-1">
                <a:solidFill>
                  <a:srgbClr val="000000"/>
                </a:solidFill>
                <a:latin typeface="Calibri"/>
              </a:defRPr>
            </a:pPr>
            <a:endParaRPr lang="lt-LT"/>
          </a:p>
        </c:txPr>
        <c:crossAx val="8306629"/>
        <c:crosses val="autoZero"/>
        <c:crossBetween val="between"/>
      </c:valAx>
      <c:dTable>
        <c:showHorzBorder val="1"/>
        <c:showVertBorder val="1"/>
        <c:showOutline val="1"/>
        <c:showKeys val="1"/>
      </c:dTable>
      <c:spPr>
        <a:noFill/>
        <a:ln w="0">
          <a:noFill/>
        </a:ln>
      </c:spPr>
    </c:plotArea>
    <c:legend>
      <c:legendPos val="r"/>
      <c:overlay val="0"/>
      <c:spPr>
        <a:solidFill>
          <a:srgbClr val="D9D9D9"/>
        </a:solidFill>
        <a:ln w="0">
          <a:solidFill>
            <a:srgbClr val="000000"/>
          </a:solidFill>
        </a:ln>
      </c:spPr>
      <c:txPr>
        <a:bodyPr/>
        <a:lstStyle/>
        <a:p>
          <a:pPr>
            <a:defRPr sz="1000" b="0" strike="noStrike" spc="-1">
              <a:solidFill>
                <a:srgbClr val="000000"/>
              </a:solidFill>
              <a:latin typeface="Arial"/>
            </a:defRPr>
          </a:pPr>
          <a:endParaRPr lang="lt-LT"/>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6952</Words>
  <Characters>3964</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PMM PMM</dc:creator>
  <dc:description/>
  <cp:lastModifiedBy>PC</cp:lastModifiedBy>
  <cp:revision>4</cp:revision>
  <dcterms:created xsi:type="dcterms:W3CDTF">2025-02-27T14:42:00Z</dcterms:created>
  <dcterms:modified xsi:type="dcterms:W3CDTF">2025-02-28T11:37:00Z</dcterms:modified>
  <dc:language>lt-LT</dc:language>
</cp:coreProperties>
</file>