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BF" w:rsidRPr="00D46677" w:rsidRDefault="006140BF" w:rsidP="006140BF">
      <w:pPr>
        <w:tabs>
          <w:tab w:val="left" w:pos="5954"/>
        </w:tabs>
        <w:ind w:left="5954"/>
        <w:rPr>
          <w:color w:val="000000" w:themeColor="text1"/>
          <w:sz w:val="20"/>
        </w:rPr>
      </w:pPr>
      <w:r w:rsidRPr="00D46677">
        <w:rPr>
          <w:color w:val="000000" w:themeColor="text1"/>
          <w:sz w:val="20"/>
        </w:rPr>
        <w:t xml:space="preserve">Prienų </w:t>
      </w:r>
      <w:r w:rsidR="00752F75">
        <w:rPr>
          <w:color w:val="000000" w:themeColor="text1"/>
          <w:sz w:val="20"/>
        </w:rPr>
        <w:t xml:space="preserve">meno mokyklos         </w:t>
      </w:r>
      <w:r>
        <w:rPr>
          <w:color w:val="000000" w:themeColor="text1"/>
          <w:sz w:val="20"/>
        </w:rPr>
        <w:t xml:space="preserve">                   </w:t>
      </w:r>
      <w:r w:rsidRPr="00D46677">
        <w:rPr>
          <w:sz w:val="20"/>
        </w:rPr>
        <w:t>b</w:t>
      </w:r>
      <w:r>
        <w:rPr>
          <w:sz w:val="20"/>
        </w:rPr>
        <w:t xml:space="preserve">endrųjų, mokinių ir ugdytinių </w:t>
      </w:r>
      <w:r w:rsidRPr="00D46677">
        <w:rPr>
          <w:sz w:val="20"/>
        </w:rPr>
        <w:t xml:space="preserve">bei jų atstovų </w:t>
      </w:r>
      <w:r>
        <w:rPr>
          <w:sz w:val="20"/>
        </w:rPr>
        <w:t xml:space="preserve">asmens duomenų </w:t>
      </w:r>
      <w:r w:rsidRPr="00D46677">
        <w:rPr>
          <w:sz w:val="20"/>
        </w:rPr>
        <w:t>tvarkymo</w:t>
      </w:r>
      <w:r w:rsidRPr="00D46677">
        <w:rPr>
          <w:spacing w:val="-4"/>
          <w:sz w:val="20"/>
        </w:rPr>
        <w:t xml:space="preserve"> </w:t>
      </w:r>
      <w:r>
        <w:rPr>
          <w:sz w:val="20"/>
        </w:rPr>
        <w:t xml:space="preserve">taisyklių                    </w:t>
      </w:r>
      <w:r>
        <w:rPr>
          <w:rFonts w:eastAsia="Calibri"/>
          <w:sz w:val="20"/>
        </w:rPr>
        <w:t>3</w:t>
      </w:r>
      <w:r w:rsidRPr="00D46677">
        <w:rPr>
          <w:rFonts w:eastAsia="Calibri"/>
          <w:sz w:val="20"/>
        </w:rPr>
        <w:t xml:space="preserve"> priedas</w:t>
      </w:r>
    </w:p>
    <w:p w:rsidR="001C573E" w:rsidRDefault="001C573E">
      <w:pPr>
        <w:ind w:left="5760" w:firstLine="720"/>
        <w:jc w:val="both"/>
        <w:rPr>
          <w:rFonts w:cs="Arial"/>
          <w:color w:val="000000"/>
          <w:szCs w:val="24"/>
        </w:rPr>
      </w:pPr>
    </w:p>
    <w:p w:rsidR="001C573E" w:rsidRDefault="001C573E" w:rsidP="005E6A70">
      <w:pPr>
        <w:spacing w:line="281" w:lineRule="exact"/>
        <w:jc w:val="center"/>
        <w:rPr>
          <w:rFonts w:cs="Arial"/>
          <w:color w:val="000000"/>
          <w:szCs w:val="24"/>
        </w:rPr>
      </w:pPr>
    </w:p>
    <w:p w:rsidR="001C573E" w:rsidRPr="001E3F99" w:rsidRDefault="00C123D8" w:rsidP="005E6A70">
      <w:pPr>
        <w:ind w:left="1440"/>
        <w:jc w:val="center"/>
        <w:rPr>
          <w:rFonts w:ascii="Calibri" w:eastAsia="Calibri" w:hAnsi="Calibri" w:cs="Arial"/>
          <w:color w:val="000000" w:themeColor="text1"/>
          <w:sz w:val="20"/>
          <w:lang w:val="en-US"/>
        </w:rPr>
      </w:pPr>
      <w:r>
        <w:rPr>
          <w:rFonts w:cs="Arial"/>
          <w:b/>
          <w:color w:val="000000"/>
          <w:szCs w:val="24"/>
        </w:rPr>
        <w:t xml:space="preserve">ASMENS DUOMENŲ APSAUGOS TECHNINIŲ IR ORGANIZACINIŲ </w:t>
      </w:r>
      <w:r w:rsidRPr="001E3F99">
        <w:rPr>
          <w:rFonts w:cs="Arial"/>
          <w:b/>
          <w:color w:val="000000" w:themeColor="text1"/>
          <w:szCs w:val="24"/>
        </w:rPr>
        <w:t>PRIEMONIŲ SĄRAŠAS</w:t>
      </w:r>
    </w:p>
    <w:p w:rsidR="001C573E" w:rsidRPr="001E3F99" w:rsidRDefault="001C573E">
      <w:pPr>
        <w:spacing w:line="271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220"/>
        </w:tabs>
        <w:ind w:left="1220" w:hanging="238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1.</w:t>
      </w:r>
      <w:r w:rsidRPr="001E3F99">
        <w:rPr>
          <w:rFonts w:cs="Arial"/>
          <w:color w:val="000000" w:themeColor="text1"/>
          <w:szCs w:val="24"/>
        </w:rPr>
        <w:tab/>
        <w:t>Užtikrinama prieigos prie asmens duomenų apsauga, valdymas ir kontrolė.</w:t>
      </w:r>
    </w:p>
    <w:p w:rsidR="001C573E" w:rsidRPr="001E3F99" w:rsidRDefault="001C573E">
      <w:pPr>
        <w:spacing w:line="12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253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2.</w:t>
      </w:r>
      <w:r w:rsidRPr="001E3F99">
        <w:rPr>
          <w:rFonts w:cs="Arial"/>
          <w:color w:val="000000" w:themeColor="text1"/>
          <w:szCs w:val="24"/>
        </w:rPr>
        <w:tab/>
        <w:t xml:space="preserve">Prieiga prie </w:t>
      </w:r>
      <w:r w:rsidR="00163456" w:rsidRPr="001E3F99">
        <w:rPr>
          <w:rFonts w:cs="Arial"/>
          <w:color w:val="000000" w:themeColor="text1"/>
          <w:szCs w:val="24"/>
        </w:rPr>
        <w:t xml:space="preserve">asmens </w:t>
      </w:r>
      <w:r w:rsidRPr="001E3F99">
        <w:rPr>
          <w:rFonts w:cs="Arial"/>
          <w:color w:val="000000" w:themeColor="text1"/>
          <w:szCs w:val="24"/>
        </w:rPr>
        <w:t xml:space="preserve">duomenų suteikiama tik tam asmeniui, kuriam </w:t>
      </w:r>
      <w:r w:rsidR="00163456" w:rsidRPr="001E3F99">
        <w:rPr>
          <w:rFonts w:cs="Arial"/>
          <w:color w:val="000000" w:themeColor="text1"/>
          <w:szCs w:val="24"/>
        </w:rPr>
        <w:t xml:space="preserve">asmens </w:t>
      </w:r>
      <w:r w:rsidRPr="001E3F99">
        <w:rPr>
          <w:rFonts w:cs="Arial"/>
          <w:color w:val="000000" w:themeColor="text1"/>
          <w:szCs w:val="24"/>
        </w:rPr>
        <w:t>duomenys yra reikalingi jo funkcijoms vykdyti.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251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3.</w:t>
      </w:r>
      <w:r w:rsidRPr="001E3F99">
        <w:rPr>
          <w:rFonts w:cs="Arial"/>
          <w:color w:val="000000" w:themeColor="text1"/>
          <w:szCs w:val="24"/>
        </w:rPr>
        <w:tab/>
        <w:t>Su asmens duomenimis galima atlikti tik tuos veiksmus, kuriems atlikti naudotojui yra suteiktos teisės.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347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4.</w:t>
      </w:r>
      <w:r w:rsidRPr="001E3F99">
        <w:rPr>
          <w:rFonts w:cs="Arial"/>
          <w:color w:val="000000" w:themeColor="text1"/>
          <w:szCs w:val="24"/>
        </w:rPr>
        <w:tab/>
        <w:t>Užtikrinama asmens duomenų apsauga nuo neteisėto prisijungimo prie vidinio kompiuterinio tinklo elektroninių ryšių priemonėmis.</w:t>
      </w:r>
    </w:p>
    <w:p w:rsidR="001C573E" w:rsidRPr="001E3F99" w:rsidRDefault="001C573E">
      <w:pPr>
        <w:spacing w:line="14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311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5.</w:t>
      </w:r>
      <w:r w:rsidRPr="001E3F99">
        <w:rPr>
          <w:rFonts w:cs="Arial"/>
          <w:color w:val="000000" w:themeColor="text1"/>
          <w:szCs w:val="24"/>
        </w:rPr>
        <w:tab/>
        <w:t>Užtikrinamas patalpų, kuriose saugomi asmens duomenys, saugumas (apribojamas neįgaliotų asmenų patekimas į atitinkamas patalpas ir pan.).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304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6.</w:t>
      </w:r>
      <w:r w:rsidRPr="001E3F99">
        <w:rPr>
          <w:rFonts w:cs="Arial"/>
          <w:color w:val="000000" w:themeColor="text1"/>
          <w:szCs w:val="24"/>
        </w:rPr>
        <w:tab/>
        <w:t>Užtikrinama kompiuterinės įrangos apsauga nuo kenksmingos programinės įrangos (antivirusinių programų įdiegimas, atnaujinimas ir pan.).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256"/>
        </w:tabs>
        <w:spacing w:line="235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7.</w:t>
      </w:r>
      <w:r w:rsidRPr="001E3F99">
        <w:rPr>
          <w:rFonts w:cs="Arial"/>
          <w:color w:val="000000" w:themeColor="text1"/>
          <w:szCs w:val="24"/>
        </w:rPr>
        <w:tab/>
        <w:t>Kontroliuojama prieiga prie asmens duomenų tokiomis organizacinėmis ir techninėmis asmens duomenų saugumo priemonėmis, kurios fiksuoja ir kontroliu</w:t>
      </w:r>
      <w:r w:rsidR="00163456" w:rsidRPr="001E3F99">
        <w:rPr>
          <w:rFonts w:cs="Arial"/>
          <w:color w:val="000000" w:themeColor="text1"/>
          <w:szCs w:val="24"/>
        </w:rPr>
        <w:t>oja registravimąsi ir teisių registruotis prie sistemos</w:t>
      </w:r>
      <w:r w:rsidR="00BB12F9" w:rsidRPr="001E3F99">
        <w:rPr>
          <w:rFonts w:cs="Arial"/>
          <w:color w:val="000000" w:themeColor="text1"/>
          <w:szCs w:val="24"/>
        </w:rPr>
        <w:t xml:space="preserve"> gavimą.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246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8.</w:t>
      </w:r>
      <w:r w:rsidRPr="001E3F99">
        <w:rPr>
          <w:rFonts w:cs="Arial"/>
          <w:color w:val="000000" w:themeColor="text1"/>
          <w:szCs w:val="24"/>
        </w:rPr>
        <w:tab/>
        <w:t>Užtikrinamas saugių protokolų ir (arba) slaptažodžių naudojimas, kai asmens duomenys perduodami išoriniais duomenų perdavimo tinklais.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357"/>
        </w:tabs>
        <w:spacing w:line="235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9.</w:t>
      </w:r>
      <w:r w:rsidRPr="001E3F99">
        <w:rPr>
          <w:rFonts w:cs="Arial"/>
          <w:color w:val="000000" w:themeColor="text1"/>
          <w:szCs w:val="24"/>
        </w:rPr>
        <w:tab/>
        <w:t>Užtikrinama, kad informacinių sistemų testavimas nebūtų vykdomas su realiais asmens duomenimis, išskyrus būtinus atvejus, kurių metu būtų naudojamos organizacinės ir techninės asmens duomenų saugumo priemonės, užtikrinančios asmens duomenų saugumą.</w:t>
      </w:r>
    </w:p>
    <w:p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340"/>
        </w:tabs>
        <w:spacing w:line="232" w:lineRule="auto"/>
        <w:ind w:left="270" w:right="20" w:firstLine="720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10.</w:t>
      </w:r>
      <w:r w:rsidRPr="001E3F99">
        <w:rPr>
          <w:rFonts w:cs="Arial"/>
          <w:color w:val="000000" w:themeColor="text1"/>
          <w:szCs w:val="24"/>
        </w:rPr>
        <w:tab/>
        <w:t>Teikiamų asmens duomenų paieškos užklausoje nurodomas asmens duomenų naudojimo tikslas (-ai).</w:t>
      </w:r>
    </w:p>
    <w:p w:rsidR="001C573E" w:rsidRPr="001E3F99" w:rsidRDefault="001C573E">
      <w:pPr>
        <w:spacing w:line="14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spacing w:line="232" w:lineRule="auto"/>
        <w:ind w:left="260" w:firstLine="720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11. Jeigu asmens duomenys gaunami ir (arba) teikiami išorinėje duomenų laikmenoje, užtikrinama asmens duomenų saugos kontrolė. Asmens duomenys po jų panaudojimo ištrinami.</w:t>
      </w:r>
    </w:p>
    <w:p w:rsidR="001C573E" w:rsidRPr="001E3F99" w:rsidRDefault="001C573E">
      <w:pPr>
        <w:spacing w:line="14" w:lineRule="exact"/>
        <w:jc w:val="both"/>
        <w:rPr>
          <w:rFonts w:cs="Arial"/>
          <w:color w:val="000000" w:themeColor="text1"/>
          <w:szCs w:val="24"/>
        </w:rPr>
      </w:pPr>
    </w:p>
    <w:p w:rsidR="001C573E" w:rsidRPr="001E3F99" w:rsidRDefault="00C123D8">
      <w:pPr>
        <w:tabs>
          <w:tab w:val="left" w:pos="1402"/>
        </w:tabs>
        <w:spacing w:line="232" w:lineRule="auto"/>
        <w:ind w:left="288" w:firstLine="674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12. Jeigu asmens duomenys gaunami ir (arba) teikiami elektroniniu paštu, užtikrinama        asmens duomenų apsaugos kontrolė. Asmens duomenys po jų panaudojimo ištrinami.</w:t>
      </w:r>
    </w:p>
    <w:p w:rsidR="001C573E" w:rsidRPr="001E3F99" w:rsidRDefault="00C123D8" w:rsidP="00163456">
      <w:pPr>
        <w:tabs>
          <w:tab w:val="left" w:pos="1402"/>
        </w:tabs>
        <w:spacing w:line="232" w:lineRule="auto"/>
        <w:ind w:left="270" w:firstLine="720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13. Užtikrinamas neviešinti</w:t>
      </w:r>
      <w:r w:rsidR="00163456" w:rsidRPr="001E3F99">
        <w:rPr>
          <w:rFonts w:cs="Arial"/>
          <w:color w:val="000000" w:themeColor="text1"/>
          <w:szCs w:val="24"/>
        </w:rPr>
        <w:t>nų asmens duomenų nuasmeninimas viešai skelbiamuose d</w:t>
      </w:r>
      <w:r w:rsidRPr="001E3F99">
        <w:rPr>
          <w:rFonts w:cs="Arial"/>
          <w:color w:val="000000" w:themeColor="text1"/>
          <w:szCs w:val="24"/>
        </w:rPr>
        <w:t>okumentuose.</w:t>
      </w:r>
    </w:p>
    <w:p w:rsidR="001C573E" w:rsidRPr="001E3F99" w:rsidRDefault="00C123D8">
      <w:pPr>
        <w:tabs>
          <w:tab w:val="left" w:pos="1402"/>
        </w:tabs>
        <w:spacing w:line="232" w:lineRule="auto"/>
        <w:ind w:left="270" w:firstLine="674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 xml:space="preserve">14. </w:t>
      </w:r>
      <w:r w:rsidRPr="006533FC">
        <w:rPr>
          <w:rFonts w:cs="Arial"/>
          <w:color w:val="000000" w:themeColor="text1"/>
          <w:szCs w:val="24"/>
        </w:rPr>
        <w:t>Užtikrinami vaizdo stebėjimo vykdymo reikalavimai koreguojant vaizdo stebėjimo perimetrą (stebėjimo lauką) tec</w:t>
      </w:r>
      <w:r w:rsidR="00E8652F" w:rsidRPr="006533FC">
        <w:rPr>
          <w:rFonts w:cs="Arial"/>
          <w:color w:val="000000" w:themeColor="text1"/>
          <w:szCs w:val="24"/>
        </w:rPr>
        <w:t>hninėmis priemonėmis – filtrais (pagal poreikį), jei tai neįmanoma padaryti kitomis techninėmis priemonėmis.</w:t>
      </w:r>
    </w:p>
    <w:p w:rsidR="001C573E" w:rsidRPr="001E3F99" w:rsidRDefault="00163456" w:rsidP="00163456">
      <w:pPr>
        <w:tabs>
          <w:tab w:val="left" w:pos="1402"/>
        </w:tabs>
        <w:spacing w:line="232" w:lineRule="auto"/>
        <w:ind w:left="288" w:firstLine="674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13. A</w:t>
      </w:r>
      <w:r w:rsidR="00C123D8" w:rsidRPr="001E3F99">
        <w:rPr>
          <w:rFonts w:cs="Arial"/>
          <w:color w:val="000000" w:themeColor="text1"/>
          <w:szCs w:val="24"/>
        </w:rPr>
        <w:t>tliekamas asmens duom</w:t>
      </w:r>
      <w:r w:rsidRPr="001E3F99">
        <w:rPr>
          <w:rFonts w:cs="Arial"/>
          <w:color w:val="000000" w:themeColor="text1"/>
          <w:szCs w:val="24"/>
        </w:rPr>
        <w:t>enų tvarkymo rizikos vertinimas, interesų balanso testas bei parengiama poveikio asmens duomenims vertinimo ataskaita.</w:t>
      </w:r>
    </w:p>
    <w:p w:rsidR="001C573E" w:rsidRDefault="001C573E">
      <w:pPr>
        <w:tabs>
          <w:tab w:val="left" w:pos="1402"/>
        </w:tabs>
        <w:spacing w:line="232" w:lineRule="auto"/>
        <w:ind w:left="288" w:firstLine="54"/>
        <w:jc w:val="both"/>
        <w:rPr>
          <w:rFonts w:cs="Arial"/>
          <w:color w:val="000000"/>
          <w:szCs w:val="24"/>
        </w:rPr>
      </w:pPr>
    </w:p>
    <w:p w:rsidR="001C573E" w:rsidRDefault="001C573E">
      <w:pPr>
        <w:spacing w:line="1" w:lineRule="exact"/>
        <w:jc w:val="both"/>
        <w:rPr>
          <w:rFonts w:cs="Arial"/>
          <w:color w:val="000000"/>
          <w:szCs w:val="24"/>
        </w:rPr>
      </w:pPr>
    </w:p>
    <w:p w:rsidR="001C573E" w:rsidRDefault="001C573E">
      <w:pPr>
        <w:ind w:left="1440" w:firstLine="720"/>
        <w:jc w:val="both"/>
        <w:rPr>
          <w:rFonts w:cs="Arial"/>
          <w:color w:val="000000"/>
          <w:szCs w:val="24"/>
        </w:rPr>
      </w:pPr>
    </w:p>
    <w:p w:rsidR="001C573E" w:rsidRDefault="00C123D8">
      <w:pPr>
        <w:ind w:left="1440" w:firstLine="720"/>
        <w:jc w:val="both"/>
        <w:rPr>
          <w:rFonts w:ascii="Calibri" w:eastAsia="Calibri" w:hAnsi="Calibri" w:cs="Arial"/>
          <w:color w:val="000000"/>
          <w:sz w:val="20"/>
          <w:lang w:val="en-US"/>
        </w:rPr>
      </w:pPr>
      <w:r>
        <w:rPr>
          <w:rFonts w:cs="Arial"/>
          <w:color w:val="000000"/>
          <w:szCs w:val="24"/>
        </w:rPr>
        <w:t>___________________________________________</w:t>
      </w:r>
    </w:p>
    <w:sectPr w:rsidR="001C573E" w:rsidSect="001E3F99">
      <w:pgSz w:w="11906" w:h="16838"/>
      <w:pgMar w:top="720" w:right="566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oNotHyphenateCaps/>
  <w:characterSpacingControl w:val="doNotCompress"/>
  <w:compat/>
  <w:rsids>
    <w:rsidRoot w:val="00D15747"/>
    <w:rsid w:val="000C463B"/>
    <w:rsid w:val="000F7AC1"/>
    <w:rsid w:val="00163456"/>
    <w:rsid w:val="001C573E"/>
    <w:rsid w:val="001D695E"/>
    <w:rsid w:val="001E3F99"/>
    <w:rsid w:val="00235D5B"/>
    <w:rsid w:val="004A074A"/>
    <w:rsid w:val="005E6A70"/>
    <w:rsid w:val="00612063"/>
    <w:rsid w:val="006140BF"/>
    <w:rsid w:val="006533FC"/>
    <w:rsid w:val="00730A03"/>
    <w:rsid w:val="00752F75"/>
    <w:rsid w:val="00BB12F9"/>
    <w:rsid w:val="00C123D8"/>
    <w:rsid w:val="00D15747"/>
    <w:rsid w:val="00E00247"/>
    <w:rsid w:val="00E420F2"/>
    <w:rsid w:val="00E8652F"/>
    <w:rsid w:val="00FF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C5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3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F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F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1E3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3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98623-E2B5-47C4-AD28-17D5673D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RAŠTINE2</cp:lastModifiedBy>
  <cp:revision>8</cp:revision>
  <dcterms:created xsi:type="dcterms:W3CDTF">2023-03-02T11:51:00Z</dcterms:created>
  <dcterms:modified xsi:type="dcterms:W3CDTF">2023-04-11T12:03:00Z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